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DDA4" w14:textId="130E1C5A" w:rsidR="004D4BE1" w:rsidRDefault="004D4BE1" w:rsidP="004D4BE1">
      <w:pPr>
        <w:spacing w:after="286"/>
        <w:ind w:left="0" w:right="0"/>
        <w:jc w:val="center"/>
        <w:rPr>
          <w:b/>
          <w:szCs w:val="20"/>
        </w:rPr>
      </w:pPr>
      <w:r>
        <w:rPr>
          <w:b/>
          <w:szCs w:val="20"/>
        </w:rPr>
        <w:t>RESUMO</w:t>
      </w:r>
    </w:p>
    <w:p w14:paraId="7589D3F3" w14:textId="74EC92C0" w:rsidR="004D4BE1" w:rsidRPr="004D4BE1" w:rsidRDefault="004D4BE1" w:rsidP="004D4BE1">
      <w:pPr>
        <w:spacing w:after="286"/>
        <w:ind w:left="10" w:right="0"/>
        <w:jc w:val="center"/>
        <w:rPr>
          <w:bCs/>
          <w:sz w:val="22"/>
          <w:szCs w:val="20"/>
        </w:rPr>
      </w:pPr>
      <w:r w:rsidRPr="004D4BE1">
        <w:rPr>
          <w:bCs/>
          <w:szCs w:val="20"/>
        </w:rPr>
        <w:t>DISCUSSÃO DE CASO CLÍNICO SOBRE O MANEJO NUTRICIONAL DO PACIENTE COM DIABETES MELITUS 2</w:t>
      </w:r>
    </w:p>
    <w:p w14:paraId="7801F0D7" w14:textId="6E8B470F" w:rsidR="004D4BE1" w:rsidRDefault="004D4BE1" w:rsidP="004D4BE1">
      <w:pPr>
        <w:ind w:left="10"/>
        <w:jc w:val="left"/>
      </w:pPr>
      <w:r>
        <w:t>Ronald Eduardo de Abreu Siqueira e Claudia Bento</w:t>
      </w:r>
    </w:p>
    <w:p w14:paraId="6DA46479" w14:textId="1571A817" w:rsidR="00FC6365" w:rsidRDefault="004D4BE1" w:rsidP="00FC6365">
      <w:pPr>
        <w:autoSpaceDE w:val="0"/>
        <w:autoSpaceDN w:val="0"/>
        <w:adjustRightInd w:val="0"/>
        <w:spacing w:before="100" w:beforeAutospacing="1" w:after="100" w:afterAutospacing="1" w:line="360" w:lineRule="auto"/>
        <w:ind w:left="0" w:right="0" w:firstLine="0"/>
        <w:rPr>
          <w:color w:val="auto"/>
          <w:szCs w:val="24"/>
        </w:rPr>
      </w:pPr>
      <w:r w:rsidRPr="004D4BE1">
        <w:rPr>
          <w:b/>
          <w:bCs/>
        </w:rPr>
        <w:t>INTRODUÇÃO:</w:t>
      </w:r>
      <w:r>
        <w:t xml:space="preserve"> </w:t>
      </w:r>
      <w:r w:rsidR="00011A59">
        <w:rPr>
          <w:color w:val="auto"/>
          <w:szCs w:val="24"/>
        </w:rPr>
        <w:t>O diabetes mellitus (DM) é uma doença crônica não transmissível (DCNT) muito frequente no mundo. O DM é classificado em tipo 1 (A e B), tipo 2, diabetes gestacional e outros tipos específicos. O Diabetes mellitus tipo 2 (DM2) é o mais predominante e correspondente a 90 a 95% dos casos e se manifesta principalmente em adultos. Trata-se de um distúrbio resultante da produção insuficiente ou resistência à ação da insulina.</w:t>
      </w:r>
    </w:p>
    <w:p w14:paraId="48A8E0C4" w14:textId="77777777" w:rsidR="00FC6365" w:rsidRDefault="004D4BE1" w:rsidP="00FC6365">
      <w:pPr>
        <w:autoSpaceDE w:val="0"/>
        <w:autoSpaceDN w:val="0"/>
        <w:adjustRightInd w:val="0"/>
        <w:spacing w:before="100" w:beforeAutospacing="1" w:after="100" w:afterAutospacing="1" w:line="360" w:lineRule="auto"/>
        <w:ind w:left="0" w:right="0" w:firstLine="0"/>
        <w:rPr>
          <w:szCs w:val="24"/>
        </w:rPr>
      </w:pPr>
      <w:r w:rsidRPr="004D4BE1">
        <w:rPr>
          <w:b/>
          <w:bCs/>
        </w:rPr>
        <w:t>OBJETIVO:</w:t>
      </w:r>
      <w:r>
        <w:t xml:space="preserve"> </w:t>
      </w:r>
      <w:r w:rsidR="00011A59">
        <w:t>Relatar um estudo de caso clínico sobre um indivíduo com diagnóstico de</w:t>
      </w:r>
      <w:r w:rsidR="00011A59">
        <w:rPr>
          <w:szCs w:val="24"/>
        </w:rPr>
        <w:t xml:space="preserve"> DM2</w:t>
      </w:r>
      <w:r w:rsidR="00FC6365">
        <w:rPr>
          <w:szCs w:val="24"/>
        </w:rPr>
        <w:t>.</w:t>
      </w:r>
    </w:p>
    <w:p w14:paraId="4333341E" w14:textId="1FBA49AB" w:rsidR="00FC6365" w:rsidRDefault="004D4BE1" w:rsidP="00FC6365">
      <w:pPr>
        <w:autoSpaceDE w:val="0"/>
        <w:autoSpaceDN w:val="0"/>
        <w:adjustRightInd w:val="0"/>
        <w:spacing w:before="100" w:beforeAutospacing="1" w:after="100" w:afterAutospacing="1" w:line="360" w:lineRule="auto"/>
        <w:ind w:left="0" w:right="0" w:firstLine="0"/>
      </w:pPr>
      <w:r w:rsidRPr="004D4BE1">
        <w:rPr>
          <w:b/>
          <w:bCs/>
        </w:rPr>
        <w:t>MÉTODOS</w:t>
      </w:r>
      <w:r>
        <w:rPr>
          <w:b/>
          <w:bCs/>
        </w:rPr>
        <w:t>:</w:t>
      </w:r>
      <w:r>
        <w:t xml:space="preserve"> </w:t>
      </w:r>
      <w:r w:rsidR="00011A59">
        <w:t xml:space="preserve">Trate-se de um estudo clínico </w:t>
      </w:r>
      <w:r w:rsidR="00011A59">
        <w:rPr>
          <w:highlight w:val="white"/>
        </w:rPr>
        <w:t xml:space="preserve">do paciente </w:t>
      </w:r>
      <w:r w:rsidR="00011A59">
        <w:rPr>
          <w:highlight w:val="white"/>
        </w:rPr>
        <w:t>M</w:t>
      </w:r>
      <w:r w:rsidR="00011A59">
        <w:rPr>
          <w:highlight w:val="white"/>
        </w:rPr>
        <w:t>.R.</w:t>
      </w:r>
      <w:r w:rsidR="00011A59">
        <w:rPr>
          <w:highlight w:val="white"/>
        </w:rPr>
        <w:t>P</w:t>
      </w:r>
      <w:r w:rsidR="00011A59">
        <w:rPr>
          <w:highlight w:val="white"/>
        </w:rPr>
        <w:t xml:space="preserve"> de </w:t>
      </w:r>
      <w:r w:rsidR="00011A59">
        <w:rPr>
          <w:highlight w:val="white"/>
        </w:rPr>
        <w:t>57</w:t>
      </w:r>
      <w:r w:rsidR="00011A59">
        <w:rPr>
          <w:highlight w:val="white"/>
        </w:rPr>
        <w:t xml:space="preserve"> anos, sexo masculino, com diagnóstico de </w:t>
      </w:r>
      <w:r w:rsidR="00011A59">
        <w:rPr>
          <w:highlight w:val="white"/>
        </w:rPr>
        <w:t>DM2 e hiperuricemia,</w:t>
      </w:r>
      <w:r w:rsidR="00011A59">
        <w:rPr>
          <w:highlight w:val="white"/>
        </w:rPr>
        <w:t xml:space="preserve"> morador da cidade do Rio de Janeiro e encaminhado para o atendimento nutricional pelo seu </w:t>
      </w:r>
      <w:r w:rsidR="00011A59">
        <w:rPr>
          <w:highlight w:val="white"/>
        </w:rPr>
        <w:t>médico</w:t>
      </w:r>
      <w:r w:rsidR="00011A59">
        <w:rPr>
          <w:highlight w:val="white"/>
        </w:rPr>
        <w:t>. Foram feitas avaliações antropométricas com a medidas do peso, estatura, perímetro da cintura, abdômen, quadril e dobras cutâneas e exames de bioimpedância e os exames bioquímicos</w:t>
      </w:r>
      <w:r w:rsidR="00FC6365">
        <w:rPr>
          <w:highlight w:val="white"/>
        </w:rPr>
        <w:t>.</w:t>
      </w:r>
    </w:p>
    <w:p w14:paraId="213D6655" w14:textId="2B1AEE42" w:rsidR="004D4BE1" w:rsidRPr="00E077FA" w:rsidRDefault="004D4BE1" w:rsidP="00FC6365">
      <w:pPr>
        <w:spacing w:before="100" w:beforeAutospacing="1" w:after="100" w:afterAutospacing="1" w:line="360" w:lineRule="auto"/>
        <w:ind w:left="10" w:firstLine="0"/>
      </w:pPr>
      <w:r w:rsidRPr="004D4BE1">
        <w:rPr>
          <w:b/>
          <w:bCs/>
        </w:rPr>
        <w:t>RESULTADOS:</w:t>
      </w:r>
      <w:r>
        <w:t xml:space="preserve"> </w:t>
      </w:r>
      <w:r w:rsidR="00011A59">
        <w:rPr>
          <w:highlight w:val="white"/>
        </w:rPr>
        <w:t xml:space="preserve">Seguindo </w:t>
      </w:r>
      <w:r w:rsidR="00011A59">
        <w:t xml:space="preserve">o plano alimentar e recomendações nutricionais propostas, se </w:t>
      </w:r>
      <w:r w:rsidR="00011A59">
        <w:t xml:space="preserve">obteve uma melhora nas concentrações de </w:t>
      </w:r>
      <w:r w:rsidR="00E077FA">
        <w:t>ácido úrico e hemoglobina glicada</w:t>
      </w:r>
      <w:r w:rsidR="00011A59">
        <w:t xml:space="preserve">, perda de peso, diminuição dos </w:t>
      </w:r>
      <w:r w:rsidR="00011A59">
        <w:rPr>
          <w:highlight w:val="white"/>
        </w:rPr>
        <w:t>perímetro</w:t>
      </w:r>
      <w:r w:rsidR="00011A59">
        <w:t>s da cintura, abdômen e quadril, além de mudanças no padrão alimentar.</w:t>
      </w:r>
    </w:p>
    <w:p w14:paraId="5A1B338E" w14:textId="77777777" w:rsidR="00FC6365" w:rsidRDefault="004D4BE1" w:rsidP="00FC6365">
      <w:pPr>
        <w:spacing w:before="100" w:beforeAutospacing="1" w:after="100" w:afterAutospacing="1" w:line="360" w:lineRule="auto"/>
        <w:ind w:left="10"/>
      </w:pPr>
      <w:r w:rsidRPr="004D4BE1">
        <w:rPr>
          <w:b/>
          <w:bCs/>
        </w:rPr>
        <w:t>CONCLUSÕES:</w:t>
      </w:r>
      <w:r>
        <w:t xml:space="preserve"> </w:t>
      </w:r>
      <w:r w:rsidR="00E077FA">
        <w:t xml:space="preserve">A </w:t>
      </w:r>
      <w:r w:rsidR="00E077FA">
        <w:t>reeducação alimentar</w:t>
      </w:r>
      <w:r w:rsidR="00E077FA">
        <w:t xml:space="preserve"> foi positiva na melhora dos hábitos alimentares, perfil lipídico, perda de peso com melhora </w:t>
      </w:r>
      <w:r w:rsidR="00E077FA">
        <w:t>para o</w:t>
      </w:r>
      <w:r w:rsidR="00E077FA">
        <w:t xml:space="preserve"> diagnóstico nutricional e perímetro da cintura e consequentemente reduzindo o risco </w:t>
      </w:r>
      <w:r w:rsidR="00E077FA">
        <w:t>para outras complicações</w:t>
      </w:r>
      <w:r w:rsidR="00E077FA">
        <w:t>.</w:t>
      </w:r>
    </w:p>
    <w:p w14:paraId="2FE9E8AF" w14:textId="6095B815" w:rsidR="004D4BE1" w:rsidRPr="00E077FA" w:rsidRDefault="00FC6365" w:rsidP="00FC6365">
      <w:pPr>
        <w:spacing w:before="100" w:beforeAutospacing="1" w:after="100" w:afterAutospacing="1" w:line="360" w:lineRule="auto"/>
        <w:ind w:left="10"/>
      </w:pPr>
      <w:r>
        <w:rPr>
          <w:b/>
          <w:bCs/>
        </w:rPr>
        <w:t>P</w:t>
      </w:r>
      <w:r w:rsidR="004D4BE1" w:rsidRPr="004D4BE1">
        <w:rPr>
          <w:b/>
          <w:bCs/>
        </w:rPr>
        <w:t xml:space="preserve">alavras-chave: </w:t>
      </w:r>
      <w:r w:rsidR="004D4BE1" w:rsidRPr="00E077FA">
        <w:t xml:space="preserve"> </w:t>
      </w:r>
      <w:r w:rsidR="00E077FA" w:rsidRPr="00E077FA">
        <w:t>Diabetes Mellitus</w:t>
      </w:r>
      <w:r w:rsidR="00E077FA">
        <w:t xml:space="preserve">, </w:t>
      </w:r>
      <w:r w:rsidR="00E077FA" w:rsidRPr="00E077FA">
        <w:t>Diabetes Mellitus tipo</w:t>
      </w:r>
      <w:r w:rsidR="00E077FA">
        <w:t xml:space="preserve"> 2, D</w:t>
      </w:r>
      <w:r w:rsidR="00E077FA" w:rsidRPr="00E077FA">
        <w:t>ietoterapia</w:t>
      </w:r>
      <w:r w:rsidR="00E077FA">
        <w:t xml:space="preserve">, </w:t>
      </w:r>
      <w:r w:rsidR="00E077FA" w:rsidRPr="00E077FA">
        <w:t>Hiperuricemia.</w:t>
      </w:r>
    </w:p>
    <w:p w14:paraId="6864408F" w14:textId="690DAA54" w:rsidR="004D4BE1" w:rsidRPr="004D4BE1" w:rsidRDefault="004D4BE1" w:rsidP="004D4BE1">
      <w:pPr>
        <w:ind w:left="10"/>
        <w:jc w:val="left"/>
        <w:rPr>
          <w:b/>
          <w:bCs/>
        </w:rPr>
      </w:pPr>
    </w:p>
    <w:p w14:paraId="4C4C466F" w14:textId="158FF8E7" w:rsidR="004D4BE1" w:rsidRDefault="004D4BE1" w:rsidP="004D4BE1">
      <w:pPr>
        <w:ind w:left="10"/>
        <w:jc w:val="left"/>
        <w:rPr>
          <w:b/>
          <w:bCs/>
        </w:rPr>
      </w:pPr>
      <w:r w:rsidRPr="004D4BE1">
        <w:rPr>
          <w:b/>
          <w:bCs/>
        </w:rPr>
        <w:lastRenderedPageBreak/>
        <w:t>REFERÊNCIAS:</w:t>
      </w:r>
    </w:p>
    <w:p w14:paraId="196EEC13" w14:textId="77777777" w:rsidR="00E077FA" w:rsidRDefault="00E077FA" w:rsidP="00E077FA">
      <w:pPr>
        <w:spacing w:line="360" w:lineRule="auto"/>
        <w:ind w:left="0" w:right="0"/>
        <w:jc w:val="left"/>
        <w:rPr>
          <w:rFonts w:eastAsia="Times New Roman"/>
          <w:szCs w:val="24"/>
        </w:rPr>
      </w:pPr>
      <w:r>
        <w:rPr>
          <w:szCs w:val="24"/>
        </w:rPr>
        <w:t xml:space="preserve">AMERICAN DIABETES ASSOCIATION (ADA). </w:t>
      </w:r>
      <w:r>
        <w:rPr>
          <w:b/>
          <w:bCs/>
          <w:szCs w:val="24"/>
        </w:rPr>
        <w:t xml:space="preserve">Standards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Medical </w:t>
      </w:r>
      <w:proofErr w:type="spellStart"/>
      <w:r>
        <w:rPr>
          <w:b/>
          <w:bCs/>
          <w:szCs w:val="24"/>
        </w:rPr>
        <w:t>Care</w:t>
      </w:r>
      <w:proofErr w:type="spellEnd"/>
      <w:r>
        <w:rPr>
          <w:b/>
          <w:bCs/>
          <w:szCs w:val="24"/>
        </w:rPr>
        <w:t xml:space="preserve"> in Diabetes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Diab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Care</w:t>
      </w:r>
      <w:proofErr w:type="spellEnd"/>
      <w:r>
        <w:rPr>
          <w:szCs w:val="24"/>
        </w:rPr>
        <w:t>, v.38, n.1, 2015.</w:t>
      </w:r>
      <w:r>
        <w:rPr>
          <w:szCs w:val="24"/>
        </w:rPr>
        <w:br/>
        <w:t xml:space="preserve">AMERICAN DIABETES ASSOCIATION (ADA). </w:t>
      </w:r>
      <w:r>
        <w:rPr>
          <w:b/>
          <w:bCs/>
          <w:szCs w:val="24"/>
        </w:rPr>
        <w:t xml:space="preserve">Standards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Medical </w:t>
      </w:r>
      <w:proofErr w:type="spellStart"/>
      <w:r>
        <w:rPr>
          <w:b/>
          <w:bCs/>
          <w:szCs w:val="24"/>
        </w:rPr>
        <w:t>Care</w:t>
      </w:r>
      <w:proofErr w:type="spellEnd"/>
      <w:r>
        <w:rPr>
          <w:b/>
          <w:bCs/>
          <w:szCs w:val="24"/>
        </w:rPr>
        <w:t xml:space="preserve"> in Diabetes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Diab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Care</w:t>
      </w:r>
      <w:proofErr w:type="spellEnd"/>
      <w:r>
        <w:rPr>
          <w:szCs w:val="24"/>
        </w:rPr>
        <w:t xml:space="preserve">, </w:t>
      </w:r>
      <w:r>
        <w:rPr>
          <w:rFonts w:eastAsia="Times New Roman"/>
          <w:color w:val="auto"/>
          <w:szCs w:val="24"/>
        </w:rPr>
        <w:t>v. 42, s. 1, 2019.</w:t>
      </w:r>
    </w:p>
    <w:p w14:paraId="4F635989" w14:textId="77777777" w:rsidR="00E077FA" w:rsidRDefault="00E077FA" w:rsidP="00E077FA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>
        <w:rPr>
          <w:szCs w:val="24"/>
        </w:rPr>
        <w:t xml:space="preserve">AMERICAN DIABETES ASSOCIATION (ADA). </w:t>
      </w:r>
      <w:r>
        <w:rPr>
          <w:b/>
          <w:bCs/>
          <w:szCs w:val="24"/>
        </w:rPr>
        <w:t xml:space="preserve">Standards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Medical </w:t>
      </w:r>
      <w:proofErr w:type="spellStart"/>
      <w:r>
        <w:rPr>
          <w:b/>
          <w:bCs/>
          <w:szCs w:val="24"/>
        </w:rPr>
        <w:t>Care</w:t>
      </w:r>
      <w:proofErr w:type="spellEnd"/>
      <w:r>
        <w:rPr>
          <w:b/>
          <w:bCs/>
          <w:szCs w:val="24"/>
        </w:rPr>
        <w:t xml:space="preserve"> in Diabetes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Diab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Care</w:t>
      </w:r>
      <w:proofErr w:type="spellEnd"/>
      <w:r>
        <w:rPr>
          <w:szCs w:val="24"/>
        </w:rPr>
        <w:t>, v. 40, s. 4-5, 2017.</w:t>
      </w:r>
    </w:p>
    <w:p w14:paraId="316EC54C" w14:textId="77777777" w:rsidR="00E077FA" w:rsidRDefault="00E077FA" w:rsidP="00E077FA">
      <w:pPr>
        <w:spacing w:line="360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CANZIANI, M. E. F.; KIRSZTAJN, G. M. </w:t>
      </w:r>
      <w:r>
        <w:rPr>
          <w:b/>
          <w:bCs/>
          <w:szCs w:val="24"/>
        </w:rPr>
        <w:t>Doença renal crônica: Manual prático uso diário ambulatorial e hospitalar</w:t>
      </w:r>
      <w:r>
        <w:rPr>
          <w:szCs w:val="24"/>
        </w:rPr>
        <w:t>. 2. ed. revisada e ampliada. São Paulo: Livraria Balieiro, n. 1-3, p. 1- 51, 2017.</w:t>
      </w:r>
    </w:p>
    <w:p w14:paraId="0193B700" w14:textId="77777777" w:rsidR="00E077FA" w:rsidRDefault="00E077FA" w:rsidP="00E077FA">
      <w:pPr>
        <w:shd w:val="clear" w:color="auto" w:fill="FFFFFF"/>
        <w:spacing w:line="360" w:lineRule="auto"/>
        <w:ind w:left="0" w:right="0" w:firstLine="0"/>
        <w:jc w:val="left"/>
        <w:rPr>
          <w:color w:val="auto"/>
          <w:szCs w:val="24"/>
        </w:rPr>
      </w:pPr>
      <w:r>
        <w:rPr>
          <w:szCs w:val="24"/>
        </w:rPr>
        <w:t xml:space="preserve">CHEN, L; MAGLIANO, DJ; ZIMMET, PZ. </w:t>
      </w:r>
      <w:r>
        <w:rPr>
          <w:b/>
          <w:bCs/>
          <w:szCs w:val="24"/>
        </w:rPr>
        <w:t xml:space="preserve">The </w:t>
      </w:r>
      <w:proofErr w:type="spellStart"/>
      <w:r>
        <w:rPr>
          <w:b/>
          <w:bCs/>
          <w:szCs w:val="24"/>
        </w:rPr>
        <w:t>worldwide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epidemiology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type</w:t>
      </w:r>
      <w:proofErr w:type="spellEnd"/>
      <w:r>
        <w:rPr>
          <w:b/>
          <w:bCs/>
          <w:szCs w:val="24"/>
        </w:rPr>
        <w:t xml:space="preserve"> 2 diabetes mellitus--</w:t>
      </w:r>
      <w:proofErr w:type="spellStart"/>
      <w:r>
        <w:rPr>
          <w:b/>
          <w:bCs/>
          <w:szCs w:val="24"/>
        </w:rPr>
        <w:t>present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and</w:t>
      </w:r>
      <w:proofErr w:type="spellEnd"/>
      <w:r>
        <w:rPr>
          <w:b/>
          <w:bCs/>
          <w:szCs w:val="24"/>
        </w:rPr>
        <w:t xml:space="preserve"> future perspectives</w:t>
      </w:r>
      <w:r>
        <w:rPr>
          <w:szCs w:val="24"/>
        </w:rPr>
        <w:t xml:space="preserve">. Nat </w:t>
      </w:r>
      <w:proofErr w:type="spellStart"/>
      <w:r>
        <w:rPr>
          <w:szCs w:val="24"/>
        </w:rPr>
        <w:t>Rev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Endocrinol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Review ,</w:t>
      </w:r>
      <w:proofErr w:type="gramEnd"/>
      <w:r>
        <w:rPr>
          <w:szCs w:val="24"/>
        </w:rPr>
        <w:t xml:space="preserve"> 8(4):228-36, 2011. </w:t>
      </w:r>
    </w:p>
    <w:p w14:paraId="1AE02BEE" w14:textId="77777777" w:rsidR="00E077FA" w:rsidRDefault="00E077FA" w:rsidP="00E077FA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DIMER, FA; BERNDT, ACC; PIVA, SJ; MORESCO, RN. </w:t>
      </w:r>
      <w:r>
        <w:rPr>
          <w:rFonts w:eastAsia="Times New Roman"/>
          <w:b/>
          <w:bCs/>
          <w:szCs w:val="24"/>
        </w:rPr>
        <w:t>Avaliação dos níveis de hemoglobina glicada em pacientes com nefropatia diabética</w:t>
      </w:r>
      <w:r>
        <w:rPr>
          <w:rFonts w:eastAsia="Times New Roman"/>
          <w:szCs w:val="24"/>
        </w:rPr>
        <w:t xml:space="preserve">. Rev. </w:t>
      </w:r>
      <w:proofErr w:type="spellStart"/>
      <w:r>
        <w:rPr>
          <w:rFonts w:eastAsia="Times New Roman"/>
          <w:szCs w:val="24"/>
        </w:rPr>
        <w:t>Inst</w:t>
      </w:r>
      <w:proofErr w:type="spellEnd"/>
      <w:r>
        <w:rPr>
          <w:rFonts w:eastAsia="Times New Roman"/>
          <w:szCs w:val="24"/>
        </w:rPr>
        <w:t xml:space="preserve"> Adolfo Lutz [periódicos na internet]. 69(02), 2010. Disponível em: http://periodicos.ses. sp.bvs.br/</w:t>
      </w:r>
      <w:proofErr w:type="spellStart"/>
      <w:r>
        <w:rPr>
          <w:rFonts w:eastAsia="Times New Roman"/>
          <w:szCs w:val="24"/>
        </w:rPr>
        <w:t>pdf</w:t>
      </w:r>
      <w:proofErr w:type="spellEnd"/>
      <w:r>
        <w:rPr>
          <w:rFonts w:eastAsia="Times New Roman"/>
          <w:szCs w:val="24"/>
        </w:rPr>
        <w:t>/rial/v69n2/v69n2a04.pdf.</w:t>
      </w:r>
    </w:p>
    <w:p w14:paraId="25021464" w14:textId="77777777" w:rsidR="00E077FA" w:rsidRDefault="00E077FA" w:rsidP="00E077FA">
      <w:pPr>
        <w:spacing w:line="360" w:lineRule="auto"/>
        <w:ind w:left="0" w:right="0"/>
        <w:jc w:val="left"/>
        <w:rPr>
          <w:rFonts w:eastAsiaTheme="minorHAnsi"/>
          <w:color w:val="auto"/>
          <w:szCs w:val="24"/>
        </w:rPr>
      </w:pPr>
      <w:r>
        <w:rPr>
          <w:rFonts w:eastAsia="Times New Roman"/>
          <w:b/>
          <w:bCs/>
          <w:color w:val="auto"/>
          <w:szCs w:val="24"/>
        </w:rPr>
        <w:t>Diretrizes Sociedade Brasileira de Diabetes</w:t>
      </w:r>
      <w:r>
        <w:rPr>
          <w:rFonts w:eastAsia="Times New Roman"/>
          <w:szCs w:val="24"/>
        </w:rPr>
        <w:t xml:space="preserve"> (SBD)</w:t>
      </w:r>
      <w:r>
        <w:rPr>
          <w:rFonts w:eastAsia="Times New Roman"/>
          <w:color w:val="auto"/>
          <w:szCs w:val="24"/>
        </w:rPr>
        <w:t>. [site na internet]. 2015-2016. Disponível em: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>http://www.epi.uff.br/wp-content/uploads/2013/10/DIRETRIZES-SBD-2015-2016.pdf</w:t>
      </w:r>
    </w:p>
    <w:p w14:paraId="5BD517E1" w14:textId="77777777" w:rsidR="00E077FA" w:rsidRDefault="00E077FA" w:rsidP="00E077FA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Diretrizes Sociedade Brasileira de Diabetes</w:t>
      </w:r>
      <w:r>
        <w:rPr>
          <w:rFonts w:eastAsia="Times New Roman"/>
          <w:szCs w:val="24"/>
        </w:rPr>
        <w:t xml:space="preserve"> (SBD). [site na internet]. 2018-2019. Disponível em: https://edisciplinas.usp.br/pluginfile.php/4925460/mod_resource/content/1/diretrizes-sbd-2017-2018.pdf</w:t>
      </w:r>
    </w:p>
    <w:p w14:paraId="1902093D" w14:textId="77777777" w:rsidR="00E077FA" w:rsidRDefault="00E077FA" w:rsidP="00E077FA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b/>
          <w:bCs/>
          <w:szCs w:val="24"/>
        </w:rPr>
        <w:t>Diretrizes Sociedade Brasileira de Diabetes</w:t>
      </w:r>
      <w:r>
        <w:rPr>
          <w:rFonts w:eastAsia="Times New Roman"/>
          <w:szCs w:val="24"/>
        </w:rPr>
        <w:t xml:space="preserve"> (SBD). [site na internet]. 2021-2022. Disponível em: h</w:t>
      </w:r>
      <w:r>
        <w:rPr>
          <w:noProof/>
          <w:szCs w:val="24"/>
        </w:rPr>
        <w:t>ttps://diretriz.diabetes.org.br/diagnostico-e-rastreamento-do-diabetes-tipo-2/</w:t>
      </w:r>
    </w:p>
    <w:p w14:paraId="7E2939EE" w14:textId="77777777" w:rsidR="00E077FA" w:rsidRDefault="00E077FA" w:rsidP="00E077FA">
      <w:pPr>
        <w:shd w:val="clear" w:color="auto" w:fill="FFFFFF"/>
        <w:spacing w:line="360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DUNCAN, B. B. et al. </w:t>
      </w:r>
      <w:r>
        <w:rPr>
          <w:b/>
          <w:bCs/>
          <w:szCs w:val="24"/>
        </w:rPr>
        <w:t xml:space="preserve">The </w:t>
      </w:r>
      <w:proofErr w:type="spellStart"/>
      <w:r>
        <w:rPr>
          <w:b/>
          <w:bCs/>
          <w:szCs w:val="24"/>
        </w:rPr>
        <w:t>burden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diabetes </w:t>
      </w:r>
      <w:proofErr w:type="spellStart"/>
      <w:r>
        <w:rPr>
          <w:b/>
          <w:bCs/>
          <w:szCs w:val="24"/>
        </w:rPr>
        <w:t>and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hyperglycemia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Brazil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and</w:t>
      </w:r>
      <w:proofErr w:type="spellEnd"/>
      <w:r>
        <w:rPr>
          <w:b/>
          <w:bCs/>
          <w:szCs w:val="24"/>
        </w:rPr>
        <w:t xml:space="preserve"> its </w:t>
      </w:r>
      <w:proofErr w:type="spellStart"/>
      <w:r>
        <w:rPr>
          <w:b/>
          <w:bCs/>
          <w:szCs w:val="24"/>
        </w:rPr>
        <w:t>states</w:t>
      </w:r>
      <w:proofErr w:type="spellEnd"/>
      <w:r>
        <w:rPr>
          <w:b/>
          <w:bCs/>
          <w:szCs w:val="24"/>
        </w:rPr>
        <w:t xml:space="preserve">: </w:t>
      </w:r>
      <w:proofErr w:type="spellStart"/>
      <w:r>
        <w:rPr>
          <w:b/>
          <w:bCs/>
          <w:szCs w:val="24"/>
        </w:rPr>
        <w:t>findings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from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Global </w:t>
      </w:r>
      <w:proofErr w:type="spellStart"/>
      <w:r>
        <w:rPr>
          <w:b/>
          <w:bCs/>
          <w:szCs w:val="24"/>
        </w:rPr>
        <w:t>Burden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Disease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Study</w:t>
      </w:r>
      <w:proofErr w:type="spellEnd"/>
      <w:r>
        <w:rPr>
          <w:b/>
          <w:bCs/>
          <w:szCs w:val="24"/>
        </w:rPr>
        <w:t xml:space="preserve"> 2015</w:t>
      </w:r>
      <w:r>
        <w:rPr>
          <w:szCs w:val="24"/>
        </w:rPr>
        <w:t xml:space="preserve">. Rev. Bras. </w:t>
      </w:r>
      <w:proofErr w:type="spellStart"/>
      <w:r>
        <w:rPr>
          <w:szCs w:val="24"/>
        </w:rPr>
        <w:t>Epidemiol</w:t>
      </w:r>
      <w:proofErr w:type="spellEnd"/>
      <w:r>
        <w:rPr>
          <w:szCs w:val="24"/>
        </w:rPr>
        <w:t>., São Paulo, v. 20, n. 1, p. 90-101, 2017.</w:t>
      </w:r>
    </w:p>
    <w:p w14:paraId="0EA05853" w14:textId="77777777" w:rsidR="00E077FA" w:rsidRDefault="00E077FA" w:rsidP="00E077FA">
      <w:pPr>
        <w:shd w:val="clear" w:color="auto" w:fill="FFFFFF"/>
        <w:spacing w:line="360" w:lineRule="auto"/>
        <w:ind w:left="0" w:right="0" w:firstLine="0"/>
        <w:jc w:val="left"/>
        <w:rPr>
          <w:color w:val="auto"/>
          <w:szCs w:val="24"/>
        </w:rPr>
      </w:pPr>
      <w:proofErr w:type="spellStart"/>
      <w:r>
        <w:rPr>
          <w:szCs w:val="24"/>
        </w:rPr>
        <w:lastRenderedPageBreak/>
        <w:t>International</w:t>
      </w:r>
      <w:proofErr w:type="spellEnd"/>
      <w:r>
        <w:rPr>
          <w:szCs w:val="24"/>
        </w:rPr>
        <w:t xml:space="preserve"> Diabetes Federation. IDF diabetes atlas. 7th ed. </w:t>
      </w:r>
      <w:proofErr w:type="spellStart"/>
      <w:r>
        <w:rPr>
          <w:szCs w:val="24"/>
        </w:rPr>
        <w:t>Brussels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Belgium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International</w:t>
      </w:r>
      <w:proofErr w:type="spellEnd"/>
      <w:r>
        <w:rPr>
          <w:szCs w:val="24"/>
        </w:rPr>
        <w:t xml:space="preserve"> Diabetes Federation; 2015. </w:t>
      </w:r>
    </w:p>
    <w:p w14:paraId="38691B2E" w14:textId="77777777" w:rsidR="00E077FA" w:rsidRDefault="00E077FA" w:rsidP="00E077FA">
      <w:pPr>
        <w:shd w:val="clear" w:color="auto" w:fill="FFFFFF"/>
        <w:spacing w:line="36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szCs w:val="24"/>
        </w:rPr>
        <w:t xml:space="preserve">LAI, YR; HUANG, CC; CHIU, WC; LIU, RT; TSAI, NW; WANG, HC; et al. HbA1C </w:t>
      </w:r>
      <w:proofErr w:type="spellStart"/>
      <w:r>
        <w:rPr>
          <w:rFonts w:eastAsia="Times New Roman"/>
          <w:b/>
          <w:bCs/>
          <w:szCs w:val="24"/>
        </w:rPr>
        <w:t>Variability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Is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Strongly</w:t>
      </w:r>
      <w:proofErr w:type="spellEnd"/>
      <w:r>
        <w:rPr>
          <w:rFonts w:eastAsia="Times New Roman"/>
          <w:b/>
          <w:bCs/>
          <w:szCs w:val="24"/>
        </w:rPr>
        <w:t xml:space="preserve"> Associated </w:t>
      </w:r>
      <w:proofErr w:type="spellStart"/>
      <w:r>
        <w:rPr>
          <w:rFonts w:eastAsia="Times New Roman"/>
          <w:b/>
          <w:bCs/>
          <w:szCs w:val="24"/>
        </w:rPr>
        <w:t>With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the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Severity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of</w:t>
      </w:r>
      <w:proofErr w:type="spellEnd"/>
      <w:r>
        <w:rPr>
          <w:rFonts w:eastAsia="Times New Roman"/>
          <w:b/>
          <w:bCs/>
          <w:szCs w:val="24"/>
        </w:rPr>
        <w:t xml:space="preserve"> Cardiovascular </w:t>
      </w:r>
      <w:proofErr w:type="spellStart"/>
      <w:r>
        <w:rPr>
          <w:rFonts w:eastAsia="Times New Roman"/>
          <w:b/>
          <w:bCs/>
          <w:szCs w:val="24"/>
        </w:rPr>
        <w:t>Autonomic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Neuropathy</w:t>
      </w:r>
      <w:proofErr w:type="spellEnd"/>
      <w:r>
        <w:rPr>
          <w:rFonts w:eastAsia="Times New Roman"/>
          <w:b/>
          <w:bCs/>
          <w:szCs w:val="24"/>
        </w:rPr>
        <w:t xml:space="preserve"> in </w:t>
      </w:r>
      <w:proofErr w:type="spellStart"/>
      <w:r>
        <w:rPr>
          <w:rFonts w:eastAsia="Times New Roman"/>
          <w:b/>
          <w:bCs/>
          <w:szCs w:val="24"/>
        </w:rPr>
        <w:t>Patients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With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Type</w:t>
      </w:r>
      <w:proofErr w:type="spellEnd"/>
      <w:r>
        <w:rPr>
          <w:rFonts w:eastAsia="Times New Roman"/>
          <w:b/>
          <w:bCs/>
          <w:szCs w:val="24"/>
        </w:rPr>
        <w:t xml:space="preserve"> 2 Diabetes </w:t>
      </w:r>
      <w:proofErr w:type="spellStart"/>
      <w:r>
        <w:rPr>
          <w:rFonts w:eastAsia="Times New Roman"/>
          <w:b/>
          <w:bCs/>
          <w:szCs w:val="24"/>
        </w:rPr>
        <w:t>After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Longer</w:t>
      </w:r>
      <w:proofErr w:type="spellEnd"/>
      <w:r>
        <w:rPr>
          <w:rFonts w:eastAsia="Times New Roman"/>
          <w:b/>
          <w:bCs/>
          <w:szCs w:val="24"/>
        </w:rPr>
        <w:t xml:space="preserve"> Diabetes </w:t>
      </w:r>
      <w:proofErr w:type="spellStart"/>
      <w:r>
        <w:rPr>
          <w:rFonts w:eastAsia="Times New Roman"/>
          <w:b/>
          <w:bCs/>
          <w:szCs w:val="24"/>
        </w:rPr>
        <w:t>Duration</w:t>
      </w:r>
      <w:proofErr w:type="spellEnd"/>
      <w:r>
        <w:rPr>
          <w:rFonts w:eastAsia="Times New Roman"/>
          <w:szCs w:val="24"/>
        </w:rPr>
        <w:t xml:space="preserve">. Front Neurosci.13:458, 2019. </w:t>
      </w:r>
    </w:p>
    <w:p w14:paraId="334481F0" w14:textId="77777777" w:rsidR="00E077FA" w:rsidRDefault="00E077FA" w:rsidP="00E077FA">
      <w:pPr>
        <w:spacing w:line="360" w:lineRule="auto"/>
        <w:ind w:left="0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LV, S.; YU, S.; CHI, R.; WANG, D. </w:t>
      </w:r>
      <w:proofErr w:type="spellStart"/>
      <w:r>
        <w:rPr>
          <w:b/>
          <w:bCs/>
          <w:color w:val="auto"/>
          <w:szCs w:val="24"/>
        </w:rPr>
        <w:t>Effects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of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nutritional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nursing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intervention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based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on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glycemic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load</w:t>
      </w:r>
      <w:proofErr w:type="spellEnd"/>
      <w:r>
        <w:rPr>
          <w:b/>
          <w:bCs/>
          <w:color w:val="auto"/>
          <w:szCs w:val="24"/>
        </w:rPr>
        <w:t xml:space="preserve"> for </w:t>
      </w:r>
      <w:proofErr w:type="spellStart"/>
      <w:r>
        <w:rPr>
          <w:b/>
          <w:bCs/>
          <w:color w:val="auto"/>
          <w:szCs w:val="24"/>
        </w:rPr>
        <w:t>patient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with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gestational</w:t>
      </w:r>
      <w:proofErr w:type="spellEnd"/>
      <w:r>
        <w:rPr>
          <w:b/>
          <w:bCs/>
          <w:color w:val="auto"/>
          <w:szCs w:val="24"/>
        </w:rPr>
        <w:t xml:space="preserve"> diabetes mellitus</w:t>
      </w:r>
      <w:r>
        <w:rPr>
          <w:color w:val="auto"/>
          <w:szCs w:val="24"/>
        </w:rPr>
        <w:t xml:space="preserve">. </w:t>
      </w:r>
      <w:proofErr w:type="spellStart"/>
      <w:r>
        <w:rPr>
          <w:color w:val="auto"/>
          <w:szCs w:val="24"/>
        </w:rPr>
        <w:t>Ginekologia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Polska</w:t>
      </w:r>
      <w:proofErr w:type="spellEnd"/>
      <w:r>
        <w:rPr>
          <w:color w:val="auto"/>
          <w:szCs w:val="24"/>
        </w:rPr>
        <w:t>, v. 90, n. 1, p. 46-49, 2019.</w:t>
      </w:r>
    </w:p>
    <w:p w14:paraId="66399FF0" w14:textId="77777777" w:rsidR="00E077FA" w:rsidRDefault="00E077FA" w:rsidP="00E077FA">
      <w:pPr>
        <w:spacing w:line="360" w:lineRule="auto"/>
        <w:ind w:left="0" w:right="0"/>
        <w:jc w:val="left"/>
        <w:rPr>
          <w:rFonts w:eastAsiaTheme="minorEastAsia"/>
          <w:color w:val="auto"/>
          <w:szCs w:val="24"/>
        </w:rPr>
      </w:pPr>
      <w:r>
        <w:rPr>
          <w:szCs w:val="24"/>
        </w:rPr>
        <w:t xml:space="preserve">MAIUOLO, J. et al. </w:t>
      </w:r>
      <w:proofErr w:type="spellStart"/>
      <w:r>
        <w:rPr>
          <w:b/>
          <w:bCs/>
          <w:szCs w:val="24"/>
        </w:rPr>
        <w:t>Regulation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uric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acid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metabolism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and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excretion</w:t>
      </w:r>
      <w:proofErr w:type="spellEnd"/>
      <w:r>
        <w:rPr>
          <w:b/>
          <w:bCs/>
          <w:szCs w:val="24"/>
        </w:rPr>
        <w:t xml:space="preserve">. </w:t>
      </w:r>
      <w:proofErr w:type="spellStart"/>
      <w:r>
        <w:rPr>
          <w:b/>
          <w:bCs/>
          <w:szCs w:val="24"/>
        </w:rPr>
        <w:t>International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Journal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Cardiology</w:t>
      </w:r>
      <w:proofErr w:type="spellEnd"/>
      <w:r>
        <w:rPr>
          <w:szCs w:val="24"/>
        </w:rPr>
        <w:t>, v. 213, p. 8-14, 2016.</w:t>
      </w:r>
    </w:p>
    <w:p w14:paraId="4BB9AC87" w14:textId="77777777" w:rsidR="00E077FA" w:rsidRDefault="00E077FA" w:rsidP="00E077FA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>
        <w:rPr>
          <w:szCs w:val="24"/>
        </w:rPr>
        <w:t xml:space="preserve">MENDANHA, D. B. A.; ABRAHÃO, M. M.; VILAR, M. M. C.; JUNIOR, J. J. N. </w:t>
      </w:r>
      <w:r>
        <w:rPr>
          <w:b/>
          <w:bCs/>
          <w:szCs w:val="24"/>
        </w:rPr>
        <w:t>Fatores de risco e incidência da retinopatia diabética</w:t>
      </w:r>
      <w:r>
        <w:rPr>
          <w:szCs w:val="24"/>
        </w:rPr>
        <w:t xml:space="preserve">. Rev. Bras. de </w:t>
      </w:r>
      <w:proofErr w:type="spellStart"/>
      <w:r>
        <w:rPr>
          <w:szCs w:val="24"/>
        </w:rPr>
        <w:t>Oftal</w:t>
      </w:r>
      <w:proofErr w:type="spellEnd"/>
      <w:r>
        <w:rPr>
          <w:szCs w:val="24"/>
        </w:rPr>
        <w:t>., v. 75, n. 6, p. 443-446, 2018.</w:t>
      </w:r>
    </w:p>
    <w:p w14:paraId="2D1C97ED" w14:textId="77777777" w:rsidR="00E077FA" w:rsidRDefault="00E077FA" w:rsidP="00E077FA">
      <w:pPr>
        <w:spacing w:line="360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MIGUEL, C; MEDIAVILLA, MJ. </w:t>
      </w:r>
      <w:r>
        <w:rPr>
          <w:b/>
          <w:bCs/>
          <w:szCs w:val="24"/>
        </w:rPr>
        <w:t xml:space="preserve">Abordagem </w:t>
      </w:r>
      <w:proofErr w:type="spellStart"/>
      <w:r>
        <w:rPr>
          <w:b/>
          <w:bCs/>
          <w:szCs w:val="24"/>
        </w:rPr>
        <w:t>actual</w:t>
      </w:r>
      <w:proofErr w:type="spellEnd"/>
      <w:r>
        <w:rPr>
          <w:b/>
          <w:bCs/>
          <w:szCs w:val="24"/>
        </w:rPr>
        <w:t xml:space="preserve"> da gota [</w:t>
      </w:r>
      <w:proofErr w:type="spellStart"/>
      <w:r>
        <w:rPr>
          <w:b/>
          <w:bCs/>
          <w:szCs w:val="24"/>
        </w:rPr>
        <w:t>Current</w:t>
      </w:r>
      <w:proofErr w:type="spellEnd"/>
      <w:r>
        <w:rPr>
          <w:b/>
          <w:bCs/>
          <w:szCs w:val="24"/>
        </w:rPr>
        <w:t xml:space="preserve"> management </w:t>
      </w:r>
      <w:proofErr w:type="spellStart"/>
      <w:r>
        <w:rPr>
          <w:b/>
          <w:bCs/>
          <w:szCs w:val="24"/>
        </w:rPr>
        <w:t>of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gout</w:t>
      </w:r>
      <w:proofErr w:type="spellEnd"/>
      <w:r>
        <w:rPr>
          <w:b/>
          <w:bCs/>
          <w:szCs w:val="24"/>
        </w:rPr>
        <w:t>]</w:t>
      </w:r>
      <w:r>
        <w:rPr>
          <w:szCs w:val="24"/>
        </w:rPr>
        <w:t>. Acta Med Port. 24(5):791-8, 2011.</w:t>
      </w:r>
    </w:p>
    <w:p w14:paraId="3CFD339E" w14:textId="77777777" w:rsidR="00E077FA" w:rsidRDefault="00E077FA" w:rsidP="00E077FA">
      <w:pPr>
        <w:spacing w:line="360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PAUL, BJ; ANOOPKUMAR, K; KRISHNAN, V. </w:t>
      </w:r>
      <w:proofErr w:type="spellStart"/>
      <w:r>
        <w:rPr>
          <w:b/>
          <w:bCs/>
          <w:szCs w:val="24"/>
        </w:rPr>
        <w:t>Asymptomatic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hyperuricemia</w:t>
      </w:r>
      <w:proofErr w:type="spellEnd"/>
      <w:r>
        <w:rPr>
          <w:b/>
          <w:bCs/>
          <w:szCs w:val="24"/>
        </w:rPr>
        <w:t xml:space="preserve">: </w:t>
      </w:r>
      <w:proofErr w:type="spellStart"/>
      <w:r>
        <w:rPr>
          <w:b/>
          <w:bCs/>
          <w:szCs w:val="24"/>
        </w:rPr>
        <w:t>is</w:t>
      </w:r>
      <w:proofErr w:type="spellEnd"/>
      <w:r>
        <w:rPr>
          <w:b/>
          <w:bCs/>
          <w:szCs w:val="24"/>
        </w:rPr>
        <w:t xml:space="preserve"> it time </w:t>
      </w:r>
      <w:proofErr w:type="spellStart"/>
      <w:r>
        <w:rPr>
          <w:b/>
          <w:bCs/>
          <w:szCs w:val="24"/>
        </w:rPr>
        <w:t>to</w:t>
      </w:r>
      <w:proofErr w:type="spellEnd"/>
      <w:r>
        <w:rPr>
          <w:b/>
          <w:bCs/>
          <w:szCs w:val="24"/>
        </w:rPr>
        <w:t xml:space="preserve"> </w:t>
      </w:r>
      <w:proofErr w:type="spellStart"/>
      <w:proofErr w:type="gramStart"/>
      <w:r>
        <w:rPr>
          <w:b/>
          <w:bCs/>
          <w:szCs w:val="24"/>
        </w:rPr>
        <w:t>intervene</w:t>
      </w:r>
      <w:proofErr w:type="spellEnd"/>
      <w:r>
        <w:rPr>
          <w:b/>
          <w:bCs/>
          <w:szCs w:val="24"/>
        </w:rPr>
        <w:t>?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Clin</w:t>
      </w:r>
      <w:proofErr w:type="spellEnd"/>
      <w:r>
        <w:rPr>
          <w:szCs w:val="24"/>
        </w:rPr>
        <w:t xml:space="preserve"> Rheumatol.36(12):2637-44, 2017.  </w:t>
      </w:r>
    </w:p>
    <w:p w14:paraId="58B20A0A" w14:textId="77777777" w:rsidR="00E077FA" w:rsidRDefault="00E077FA" w:rsidP="00E077FA">
      <w:pPr>
        <w:spacing w:line="360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SATO, Y. et al. </w:t>
      </w:r>
      <w:r>
        <w:rPr>
          <w:b/>
          <w:bCs/>
          <w:szCs w:val="24"/>
        </w:rPr>
        <w:t xml:space="preserve">The case for </w:t>
      </w:r>
      <w:proofErr w:type="spellStart"/>
      <w:r>
        <w:rPr>
          <w:b/>
          <w:bCs/>
          <w:szCs w:val="24"/>
        </w:rPr>
        <w:t>uric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acid-lowering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treatment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patients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with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hyperuricaemia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and</w:t>
      </w:r>
      <w:proofErr w:type="spellEnd"/>
      <w:r>
        <w:rPr>
          <w:b/>
          <w:bCs/>
          <w:szCs w:val="24"/>
        </w:rPr>
        <w:t xml:space="preserve"> CKD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Nature</w:t>
      </w:r>
      <w:proofErr w:type="spellEnd"/>
      <w:r>
        <w:rPr>
          <w:szCs w:val="24"/>
        </w:rPr>
        <w:t xml:space="preserve"> Reviews </w:t>
      </w:r>
      <w:proofErr w:type="spellStart"/>
      <w:r>
        <w:rPr>
          <w:szCs w:val="24"/>
        </w:rPr>
        <w:t>Nephrology</w:t>
      </w:r>
      <w:proofErr w:type="spellEnd"/>
      <w:r>
        <w:rPr>
          <w:szCs w:val="24"/>
        </w:rPr>
        <w:t>, v. 15, n. 12, p. 767-775. 2019.</w:t>
      </w:r>
    </w:p>
    <w:p w14:paraId="41381313" w14:textId="77777777" w:rsidR="00E077FA" w:rsidRDefault="00E077FA" w:rsidP="00E077FA">
      <w:pPr>
        <w:shd w:val="clear" w:color="auto" w:fill="FFFFFF"/>
        <w:spacing w:line="36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szCs w:val="24"/>
        </w:rPr>
        <w:t xml:space="preserve">SIEVENPIPER, J.; CHAN, C. B.; DWORATZEK, P. D.; FREEZE, C.; WILLIAMS, S. L. </w:t>
      </w:r>
      <w:proofErr w:type="spellStart"/>
      <w:r>
        <w:rPr>
          <w:rFonts w:eastAsia="Times New Roman"/>
          <w:szCs w:val="24"/>
        </w:rPr>
        <w:t>Nutrition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Therapy</w:t>
      </w:r>
      <w:proofErr w:type="spellEnd"/>
      <w:r>
        <w:rPr>
          <w:rFonts w:eastAsia="Times New Roman"/>
          <w:szCs w:val="24"/>
        </w:rPr>
        <w:t xml:space="preserve">. </w:t>
      </w:r>
      <w:r>
        <w:rPr>
          <w:rFonts w:eastAsia="Times New Roman"/>
          <w:b/>
          <w:bCs/>
          <w:szCs w:val="24"/>
        </w:rPr>
        <w:t xml:space="preserve">Canadian </w:t>
      </w:r>
      <w:proofErr w:type="spellStart"/>
      <w:r>
        <w:rPr>
          <w:rFonts w:eastAsia="Times New Roman"/>
          <w:b/>
          <w:bCs/>
          <w:szCs w:val="24"/>
        </w:rPr>
        <w:t>Journal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of</w:t>
      </w:r>
      <w:proofErr w:type="spellEnd"/>
      <w:r>
        <w:rPr>
          <w:rFonts w:eastAsia="Times New Roman"/>
          <w:b/>
          <w:bCs/>
          <w:szCs w:val="24"/>
        </w:rPr>
        <w:t xml:space="preserve"> Diabetes</w:t>
      </w:r>
      <w:r>
        <w:rPr>
          <w:rFonts w:eastAsia="Times New Roman"/>
          <w:szCs w:val="24"/>
        </w:rPr>
        <w:t>, v. 42, p. S64-S79, 2018.</w:t>
      </w:r>
    </w:p>
    <w:p w14:paraId="1F4099E5" w14:textId="77777777" w:rsidR="00E077FA" w:rsidRDefault="00E077FA" w:rsidP="00E077FA">
      <w:pPr>
        <w:shd w:val="clear" w:color="auto" w:fill="FFFFFF"/>
        <w:spacing w:line="36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szCs w:val="24"/>
        </w:rPr>
        <w:t xml:space="preserve">SMITH, KB; SMITH, MS. </w:t>
      </w:r>
      <w:proofErr w:type="spellStart"/>
      <w:r>
        <w:rPr>
          <w:szCs w:val="24"/>
        </w:rPr>
        <w:t>Obesity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statistics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Prim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Care</w:t>
      </w:r>
      <w:proofErr w:type="spellEnd"/>
      <w:r>
        <w:rPr>
          <w:szCs w:val="24"/>
        </w:rPr>
        <w:t xml:space="preserve">. 2016; 43(1):121-35. </w:t>
      </w:r>
      <w:proofErr w:type="gramStart"/>
      <w:r>
        <w:rPr>
          <w:b/>
          <w:bCs/>
          <w:szCs w:val="24"/>
        </w:rPr>
        <w:t>Review..</w:t>
      </w:r>
      <w:proofErr w:type="gramEnd"/>
      <w:r>
        <w:rPr>
          <w:b/>
          <w:bCs/>
          <w:szCs w:val="24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Cs w:val="24"/>
        </w:rPr>
        <w:t>therapeutic</w:t>
      </w:r>
      <w:proofErr w:type="spellEnd"/>
      <w:r>
        <w:rPr>
          <w:rFonts w:eastAsia="Times New Roman"/>
          <w:b/>
          <w:bCs/>
          <w:szCs w:val="24"/>
        </w:rPr>
        <w:t xml:space="preserve">  </w:t>
      </w:r>
      <w:proofErr w:type="spellStart"/>
      <w:r>
        <w:rPr>
          <w:rFonts w:eastAsia="Times New Roman"/>
          <w:b/>
          <w:bCs/>
          <w:szCs w:val="24"/>
        </w:rPr>
        <w:t>applications</w:t>
      </w:r>
      <w:proofErr w:type="spellEnd"/>
      <w:proofErr w:type="gramEnd"/>
      <w:r>
        <w:rPr>
          <w:rFonts w:eastAsia="Times New Roman"/>
          <w:b/>
          <w:bCs/>
          <w:szCs w:val="24"/>
        </w:rPr>
        <w:t xml:space="preserve">  </w:t>
      </w:r>
      <w:proofErr w:type="spellStart"/>
      <w:r>
        <w:rPr>
          <w:rFonts w:eastAsia="Times New Roman"/>
          <w:b/>
          <w:bCs/>
          <w:szCs w:val="24"/>
        </w:rPr>
        <w:t>against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proofErr w:type="spellStart"/>
      <w:r>
        <w:rPr>
          <w:rFonts w:eastAsia="Times New Roman"/>
          <w:b/>
          <w:bCs/>
          <w:szCs w:val="24"/>
        </w:rPr>
        <w:t>oxidative</w:t>
      </w:r>
      <w:proofErr w:type="spellEnd"/>
      <w:r>
        <w:rPr>
          <w:rFonts w:eastAsia="Times New Roman"/>
          <w:b/>
          <w:bCs/>
          <w:szCs w:val="24"/>
        </w:rPr>
        <w:t xml:space="preserve">  </w:t>
      </w:r>
      <w:proofErr w:type="spellStart"/>
      <w:r>
        <w:rPr>
          <w:rFonts w:eastAsia="Times New Roman"/>
          <w:b/>
          <w:bCs/>
          <w:szCs w:val="24"/>
        </w:rPr>
        <w:t>injury</w:t>
      </w:r>
      <w:proofErr w:type="spellEnd"/>
      <w:r>
        <w:rPr>
          <w:rFonts w:eastAsia="Times New Roman"/>
          <w:b/>
          <w:bCs/>
          <w:szCs w:val="24"/>
        </w:rPr>
        <w:t xml:space="preserve"> in  </w:t>
      </w:r>
      <w:proofErr w:type="spellStart"/>
      <w:r>
        <w:rPr>
          <w:rFonts w:eastAsia="Times New Roman"/>
          <w:b/>
          <w:bCs/>
          <w:szCs w:val="24"/>
        </w:rPr>
        <w:t>obesity</w:t>
      </w:r>
      <w:proofErr w:type="spellEnd"/>
      <w:r>
        <w:rPr>
          <w:rFonts w:eastAsia="Times New Roman"/>
          <w:b/>
          <w:bCs/>
          <w:szCs w:val="24"/>
        </w:rPr>
        <w:t xml:space="preserve">  </w:t>
      </w:r>
      <w:proofErr w:type="spellStart"/>
      <w:r>
        <w:rPr>
          <w:rFonts w:eastAsia="Times New Roman"/>
          <w:b/>
          <w:bCs/>
          <w:szCs w:val="24"/>
        </w:rPr>
        <w:t>and</w:t>
      </w:r>
      <w:proofErr w:type="spellEnd"/>
      <w:r>
        <w:rPr>
          <w:rFonts w:eastAsia="Times New Roman"/>
          <w:b/>
          <w:bCs/>
          <w:szCs w:val="24"/>
        </w:rPr>
        <w:t xml:space="preserve">  </w:t>
      </w:r>
      <w:proofErr w:type="spellStart"/>
      <w:r>
        <w:rPr>
          <w:rFonts w:eastAsia="Times New Roman"/>
          <w:b/>
          <w:bCs/>
          <w:szCs w:val="24"/>
        </w:rPr>
        <w:t>type</w:t>
      </w:r>
      <w:proofErr w:type="spellEnd"/>
      <w:r>
        <w:rPr>
          <w:rFonts w:eastAsia="Times New Roman"/>
          <w:b/>
          <w:bCs/>
          <w:szCs w:val="24"/>
        </w:rPr>
        <w:t xml:space="preserve">  2  diabetes </w:t>
      </w:r>
      <w:proofErr w:type="spellStart"/>
      <w:r>
        <w:rPr>
          <w:rFonts w:eastAsia="Times New Roman"/>
          <w:b/>
          <w:bCs/>
          <w:szCs w:val="24"/>
        </w:rPr>
        <w:t>pathology</w:t>
      </w:r>
      <w:proofErr w:type="spellEnd"/>
      <w:r>
        <w:rPr>
          <w:rFonts w:eastAsia="Times New Roman"/>
          <w:szCs w:val="24"/>
        </w:rPr>
        <w:t xml:space="preserve">. In: </w:t>
      </w:r>
      <w:proofErr w:type="spellStart"/>
      <w:r>
        <w:rPr>
          <w:rFonts w:eastAsia="Times New Roman"/>
          <w:szCs w:val="24"/>
        </w:rPr>
        <w:t>Pathology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Oxidative</w:t>
      </w:r>
      <w:proofErr w:type="spellEnd"/>
      <w:r>
        <w:rPr>
          <w:rFonts w:eastAsia="Times New Roman"/>
          <w:szCs w:val="24"/>
        </w:rPr>
        <w:t xml:space="preserve"> Stress </w:t>
      </w:r>
      <w:proofErr w:type="spellStart"/>
      <w:r>
        <w:rPr>
          <w:rFonts w:eastAsia="Times New Roman"/>
          <w:szCs w:val="24"/>
        </w:rPr>
        <w:t>and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Dietary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Antioxidants</w:t>
      </w:r>
      <w:proofErr w:type="spellEnd"/>
      <w:r>
        <w:rPr>
          <w:rFonts w:eastAsia="Times New Roman"/>
          <w:szCs w:val="24"/>
        </w:rPr>
        <w:t xml:space="preserve">, p. 297-307, 2016. </w:t>
      </w:r>
    </w:p>
    <w:p w14:paraId="0C5C9F71" w14:textId="77777777" w:rsidR="00E077FA" w:rsidRDefault="00E077FA" w:rsidP="00E077FA">
      <w:pPr>
        <w:spacing w:line="360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TSUSHIMA, Y; NISHIZAWA, H; TOCHINO, Y; NAKATSUJI, H; SEKIMOTO, R; NAGAO, H; et al. </w:t>
      </w:r>
      <w:proofErr w:type="spellStart"/>
      <w:r>
        <w:rPr>
          <w:b/>
          <w:bCs/>
          <w:szCs w:val="24"/>
        </w:rPr>
        <w:t>Uric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acid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secretion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from</w:t>
      </w:r>
      <w:proofErr w:type="spellEnd"/>
      <w:r>
        <w:rPr>
          <w:b/>
          <w:bCs/>
          <w:szCs w:val="24"/>
        </w:rPr>
        <w:t xml:space="preserve"> adipose </w:t>
      </w:r>
      <w:proofErr w:type="spellStart"/>
      <w:r>
        <w:rPr>
          <w:b/>
          <w:bCs/>
          <w:szCs w:val="24"/>
        </w:rPr>
        <w:t>tissue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and</w:t>
      </w:r>
      <w:proofErr w:type="spellEnd"/>
      <w:r>
        <w:rPr>
          <w:b/>
          <w:bCs/>
          <w:szCs w:val="24"/>
        </w:rPr>
        <w:t xml:space="preserve"> its </w:t>
      </w:r>
      <w:proofErr w:type="spellStart"/>
      <w:r>
        <w:rPr>
          <w:b/>
          <w:bCs/>
          <w:szCs w:val="24"/>
        </w:rPr>
        <w:t>increase</w:t>
      </w:r>
      <w:proofErr w:type="spellEnd"/>
      <w:r>
        <w:rPr>
          <w:b/>
          <w:bCs/>
          <w:szCs w:val="24"/>
        </w:rPr>
        <w:t xml:space="preserve"> in </w:t>
      </w:r>
      <w:proofErr w:type="spellStart"/>
      <w:r>
        <w:rPr>
          <w:b/>
          <w:bCs/>
          <w:szCs w:val="24"/>
        </w:rPr>
        <w:t>obesity</w:t>
      </w:r>
      <w:proofErr w:type="spellEnd"/>
      <w:r>
        <w:rPr>
          <w:szCs w:val="24"/>
        </w:rPr>
        <w:t xml:space="preserve">. J </w:t>
      </w:r>
      <w:proofErr w:type="spellStart"/>
      <w:r>
        <w:rPr>
          <w:szCs w:val="24"/>
        </w:rPr>
        <w:t>Biol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Chem</w:t>
      </w:r>
      <w:proofErr w:type="spellEnd"/>
      <w:r>
        <w:rPr>
          <w:szCs w:val="24"/>
        </w:rPr>
        <w:t>. 288:27138-49. 2013.</w:t>
      </w:r>
    </w:p>
    <w:p w14:paraId="585D5CD5" w14:textId="77777777" w:rsidR="00E077FA" w:rsidRDefault="00E077FA" w:rsidP="00E077FA">
      <w:pPr>
        <w:spacing w:line="360" w:lineRule="auto"/>
        <w:ind w:left="0" w:right="0"/>
        <w:jc w:val="left"/>
        <w:rPr>
          <w:szCs w:val="24"/>
        </w:rPr>
      </w:pPr>
      <w:r>
        <w:rPr>
          <w:szCs w:val="24"/>
        </w:rPr>
        <w:lastRenderedPageBreak/>
        <w:t xml:space="preserve">WELLS, B.G. et al. </w:t>
      </w:r>
      <w:r>
        <w:rPr>
          <w:b/>
          <w:bCs/>
          <w:szCs w:val="24"/>
        </w:rPr>
        <w:t>Distúrbios articulares e ósseos. Gota e hiperuricemia: Manual de Farmacoterapia</w:t>
      </w:r>
      <w:r>
        <w:rPr>
          <w:szCs w:val="24"/>
        </w:rPr>
        <w:t>. 9. ed. Porto Alegre. AMGH, v.1 n.1, p. 1-8, 2016.</w:t>
      </w:r>
    </w:p>
    <w:p w14:paraId="4F4C7382" w14:textId="77777777" w:rsidR="00E077FA" w:rsidRDefault="00E077FA" w:rsidP="004D4BE1">
      <w:pPr>
        <w:ind w:left="10"/>
        <w:jc w:val="left"/>
        <w:rPr>
          <w:b/>
          <w:bCs/>
        </w:rPr>
      </w:pPr>
    </w:p>
    <w:p w14:paraId="661D3AD9" w14:textId="77777777" w:rsidR="004D4BE1" w:rsidRPr="004D4BE1" w:rsidRDefault="004D4BE1" w:rsidP="004D4BE1">
      <w:pPr>
        <w:ind w:left="10"/>
        <w:jc w:val="left"/>
      </w:pPr>
    </w:p>
    <w:sectPr w:rsidR="004D4BE1" w:rsidRPr="004D4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00BC"/>
    <w:multiLevelType w:val="hybridMultilevel"/>
    <w:tmpl w:val="D94A87AC"/>
    <w:lvl w:ilvl="0" w:tplc="692A08C4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C7883D1C">
      <w:start w:val="1"/>
      <w:numFmt w:val="lowerLetter"/>
      <w:lvlText w:val="%2"/>
      <w:lvlJc w:val="left"/>
      <w:pPr>
        <w:ind w:left="123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D5CA426C">
      <w:start w:val="1"/>
      <w:numFmt w:val="lowerRoman"/>
      <w:lvlText w:val="%3"/>
      <w:lvlJc w:val="left"/>
      <w:pPr>
        <w:ind w:left="195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B302EEFC">
      <w:start w:val="1"/>
      <w:numFmt w:val="decimal"/>
      <w:lvlText w:val="%4"/>
      <w:lvlJc w:val="left"/>
      <w:pPr>
        <w:ind w:left="267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DD26844E">
      <w:start w:val="1"/>
      <w:numFmt w:val="lowerLetter"/>
      <w:lvlText w:val="%5"/>
      <w:lvlJc w:val="left"/>
      <w:pPr>
        <w:ind w:left="339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48A68236">
      <w:start w:val="1"/>
      <w:numFmt w:val="lowerRoman"/>
      <w:lvlText w:val="%6"/>
      <w:lvlJc w:val="left"/>
      <w:pPr>
        <w:ind w:left="411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BF12B19C">
      <w:start w:val="1"/>
      <w:numFmt w:val="decimal"/>
      <w:lvlText w:val="%7"/>
      <w:lvlJc w:val="left"/>
      <w:pPr>
        <w:ind w:left="483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61C06F8E">
      <w:start w:val="1"/>
      <w:numFmt w:val="lowerLetter"/>
      <w:lvlText w:val="%8"/>
      <w:lvlJc w:val="left"/>
      <w:pPr>
        <w:ind w:left="555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F3CC97AA">
      <w:start w:val="1"/>
      <w:numFmt w:val="lowerRoman"/>
      <w:lvlText w:val="%9"/>
      <w:lvlJc w:val="left"/>
      <w:pPr>
        <w:ind w:left="627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18624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E1"/>
    <w:rsid w:val="00011A59"/>
    <w:rsid w:val="004D4BE1"/>
    <w:rsid w:val="00E077FA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3A8F"/>
  <w15:chartTrackingRefBased/>
  <w15:docId w15:val="{404698A9-7109-4689-A377-011D93F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E1"/>
    <w:pPr>
      <w:spacing w:after="107" w:line="268" w:lineRule="auto"/>
      <w:ind w:left="3982" w:right="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Eduardo</dc:creator>
  <cp:keywords/>
  <dc:description/>
  <cp:lastModifiedBy>Ronald Eduardo</cp:lastModifiedBy>
  <cp:revision>1</cp:revision>
  <dcterms:created xsi:type="dcterms:W3CDTF">2022-04-21T01:08:00Z</dcterms:created>
  <dcterms:modified xsi:type="dcterms:W3CDTF">2022-04-21T01:30:00Z</dcterms:modified>
</cp:coreProperties>
</file>