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D589" w14:textId="77777777" w:rsidR="003C1165" w:rsidRPr="00026F15" w:rsidRDefault="003C1165" w:rsidP="003C1165">
      <w:pPr>
        <w:spacing w:line="360" w:lineRule="auto"/>
        <w:jc w:val="center"/>
        <w:rPr>
          <w:rFonts w:ascii="Arial" w:hAnsi="Arial" w:cs="Arial"/>
          <w:b/>
          <w:sz w:val="24"/>
          <w:szCs w:val="24"/>
        </w:rPr>
      </w:pPr>
      <w:r>
        <w:rPr>
          <w:rFonts w:ascii="Arial" w:hAnsi="Arial" w:cs="Arial"/>
          <w:b/>
          <w:sz w:val="24"/>
          <w:szCs w:val="24"/>
        </w:rPr>
        <w:t xml:space="preserve">ATENDIMENTO NUTRICIONAL, </w:t>
      </w:r>
      <w:r w:rsidRPr="00A426A4">
        <w:rPr>
          <w:rFonts w:ascii="Arial" w:hAnsi="Arial" w:cs="Arial"/>
          <w:b/>
          <w:i/>
          <w:iCs/>
          <w:sz w:val="24"/>
          <w:szCs w:val="24"/>
        </w:rPr>
        <w:t>HOME CARE</w:t>
      </w:r>
      <w:r>
        <w:rPr>
          <w:rFonts w:ascii="Arial" w:hAnsi="Arial" w:cs="Arial"/>
          <w:b/>
          <w:sz w:val="24"/>
          <w:szCs w:val="24"/>
        </w:rPr>
        <w:t>, DE UMA PACIENTE COM SÍNDROME DO OVÁRIO POLICÍSTICO E DISLIPIDEMIA</w:t>
      </w:r>
    </w:p>
    <w:p w14:paraId="0221F092" w14:textId="2CAD556B" w:rsidR="008A3AFB" w:rsidRDefault="003C1165" w:rsidP="003C1165">
      <w:pPr>
        <w:spacing w:line="360" w:lineRule="auto"/>
        <w:rPr>
          <w:rFonts w:ascii="Arial" w:hAnsi="Arial" w:cs="Arial"/>
          <w:sz w:val="24"/>
          <w:szCs w:val="24"/>
        </w:rPr>
      </w:pPr>
      <w:r w:rsidRPr="003C1165">
        <w:rPr>
          <w:rFonts w:ascii="Arial" w:hAnsi="Arial" w:cs="Arial"/>
          <w:sz w:val="24"/>
          <w:szCs w:val="24"/>
        </w:rPr>
        <w:t>Harumi Kinukawa Sousa e Maria Nubia Gama Oliveira</w:t>
      </w:r>
    </w:p>
    <w:p w14:paraId="72B66862" w14:textId="77777777" w:rsidR="003C1165" w:rsidRPr="00A027E6" w:rsidRDefault="003C1165" w:rsidP="003C1165">
      <w:pPr>
        <w:spacing w:line="360" w:lineRule="auto"/>
        <w:jc w:val="both"/>
        <w:rPr>
          <w:rFonts w:ascii="Arial" w:hAnsi="Arial" w:cs="Arial"/>
          <w:bCs/>
          <w:sz w:val="24"/>
          <w:szCs w:val="24"/>
        </w:rPr>
      </w:pPr>
      <w:r w:rsidRPr="00CE6EB6">
        <w:rPr>
          <w:rFonts w:ascii="Arial" w:hAnsi="Arial" w:cs="Arial"/>
          <w:b/>
          <w:sz w:val="24"/>
          <w:szCs w:val="24"/>
        </w:rPr>
        <w:t>Introdução:</w:t>
      </w:r>
      <w:r>
        <w:rPr>
          <w:rFonts w:ascii="Arial" w:hAnsi="Arial" w:cs="Arial"/>
          <w:sz w:val="24"/>
          <w:szCs w:val="24"/>
        </w:rPr>
        <w:t xml:space="preserve"> A </w:t>
      </w:r>
      <w:r w:rsidRPr="003E3D21">
        <w:rPr>
          <w:rFonts w:ascii="Arial" w:hAnsi="Arial" w:cs="Arial"/>
          <w:sz w:val="24"/>
          <w:szCs w:val="24"/>
        </w:rPr>
        <w:t>síndrome do ovário policístico (SOP</w:t>
      </w:r>
      <w:r>
        <w:rPr>
          <w:rFonts w:ascii="Arial" w:hAnsi="Arial" w:cs="Arial"/>
          <w:sz w:val="24"/>
          <w:szCs w:val="24"/>
        </w:rPr>
        <w:t xml:space="preserve">) é um distúrbio endócrino diagnosticado comumente por alguns critérios clínicos, bioquímicos e radiológicos. A SOP pode estar relacionada com complicações metabólicas como as dislipidemias. As dislipidemias tratam-se de acúmulo exacerbado de lipídios no plasma sanguíneo e podem evoluir como patogênese de </w:t>
      </w:r>
      <w:r w:rsidRPr="0036424E">
        <w:rPr>
          <w:rFonts w:ascii="Arial" w:hAnsi="Arial" w:cs="Arial"/>
          <w:sz w:val="24"/>
          <w:szCs w:val="24"/>
        </w:rPr>
        <w:t>doenças cardiovasculares</w:t>
      </w:r>
      <w:r>
        <w:rPr>
          <w:rFonts w:ascii="Arial" w:hAnsi="Arial" w:cs="Arial"/>
          <w:sz w:val="24"/>
          <w:szCs w:val="24"/>
        </w:rPr>
        <w:t xml:space="preserve"> (DCV)</w:t>
      </w:r>
      <w:r w:rsidRPr="00CE6EB6">
        <w:rPr>
          <w:rFonts w:ascii="Arial" w:hAnsi="Arial" w:cs="Arial"/>
          <w:sz w:val="24"/>
          <w:szCs w:val="24"/>
        </w:rPr>
        <w:t xml:space="preserve">. </w:t>
      </w:r>
      <w:r w:rsidRPr="00CB4A56">
        <w:rPr>
          <w:rFonts w:ascii="Arial" w:hAnsi="Arial" w:cs="Arial"/>
          <w:b/>
          <w:sz w:val="24"/>
          <w:szCs w:val="24"/>
        </w:rPr>
        <w:t>Objetivo:</w:t>
      </w:r>
      <w:r>
        <w:rPr>
          <w:rFonts w:ascii="Arial" w:hAnsi="Arial" w:cs="Arial"/>
          <w:sz w:val="24"/>
          <w:szCs w:val="24"/>
        </w:rPr>
        <w:t xml:space="preserve"> Relatar um caso clínico</w:t>
      </w:r>
      <w:r w:rsidRPr="005C7CEA">
        <w:rPr>
          <w:rFonts w:ascii="Arial" w:hAnsi="Arial" w:cs="Arial"/>
          <w:bCs/>
          <w:sz w:val="24"/>
          <w:szCs w:val="24"/>
        </w:rPr>
        <w:t xml:space="preserve"> </w:t>
      </w:r>
      <w:r w:rsidRPr="0036299C">
        <w:rPr>
          <w:rFonts w:ascii="Arial" w:hAnsi="Arial" w:cs="Arial"/>
          <w:bCs/>
          <w:sz w:val="24"/>
          <w:szCs w:val="24"/>
        </w:rPr>
        <w:t xml:space="preserve">de paciente com diagnóstico de SOP </w:t>
      </w:r>
      <w:r>
        <w:rPr>
          <w:rFonts w:ascii="Arial" w:hAnsi="Arial" w:cs="Arial"/>
          <w:bCs/>
          <w:sz w:val="24"/>
          <w:szCs w:val="24"/>
        </w:rPr>
        <w:t xml:space="preserve">e dislipidemia </w:t>
      </w:r>
      <w:r w:rsidRPr="0036299C">
        <w:rPr>
          <w:rFonts w:ascii="Arial" w:hAnsi="Arial" w:cs="Arial"/>
          <w:bCs/>
          <w:sz w:val="24"/>
          <w:szCs w:val="24"/>
        </w:rPr>
        <w:t xml:space="preserve">e a importância do tratamento dietoterápico na prevenção </w:t>
      </w:r>
      <w:r>
        <w:rPr>
          <w:rFonts w:ascii="Arial" w:hAnsi="Arial" w:cs="Arial"/>
          <w:bCs/>
          <w:sz w:val="24"/>
          <w:szCs w:val="24"/>
        </w:rPr>
        <w:t>das DCV</w:t>
      </w:r>
      <w:r w:rsidRPr="0036299C">
        <w:rPr>
          <w:rFonts w:ascii="Arial" w:hAnsi="Arial" w:cs="Arial"/>
          <w:bCs/>
          <w:sz w:val="24"/>
          <w:szCs w:val="24"/>
        </w:rPr>
        <w:t>.</w:t>
      </w:r>
      <w:r>
        <w:rPr>
          <w:rFonts w:ascii="Arial" w:hAnsi="Arial" w:cs="Arial"/>
          <w:sz w:val="24"/>
          <w:szCs w:val="24"/>
        </w:rPr>
        <w:t xml:space="preserve"> </w:t>
      </w:r>
      <w:r w:rsidRPr="00CB4A56">
        <w:rPr>
          <w:rFonts w:ascii="Arial" w:hAnsi="Arial" w:cs="Arial"/>
          <w:b/>
          <w:sz w:val="24"/>
          <w:szCs w:val="24"/>
        </w:rPr>
        <w:t>Material e Método</w:t>
      </w:r>
      <w:r>
        <w:rPr>
          <w:rFonts w:ascii="Arial" w:hAnsi="Arial" w:cs="Arial"/>
          <w:sz w:val="24"/>
          <w:szCs w:val="24"/>
        </w:rPr>
        <w:t xml:space="preserve">: Paciente do sexo feminino, 31 anos, casada, sem filhos, residente da cidade do Rio de Janeiro, trabalha como nutricionista. Portadora de SOP desde os 21 anos, porém sem sinais clínicos de hirsutismo, encontra-se com sobrepeso segundo </w:t>
      </w:r>
      <w:r w:rsidRPr="0036424E">
        <w:rPr>
          <w:rFonts w:ascii="Arial" w:hAnsi="Arial" w:cs="Arial"/>
          <w:sz w:val="24"/>
          <w:szCs w:val="24"/>
        </w:rPr>
        <w:t>índice de massa corporal</w:t>
      </w:r>
      <w:r>
        <w:rPr>
          <w:rFonts w:ascii="Arial" w:hAnsi="Arial" w:cs="Arial"/>
          <w:sz w:val="24"/>
          <w:szCs w:val="24"/>
        </w:rPr>
        <w:t xml:space="preserve"> e com valores do perfil lipídico alterados</w:t>
      </w:r>
      <w:r>
        <w:rPr>
          <w:rFonts w:ascii="Arial" w:hAnsi="Arial" w:cs="Arial"/>
          <w:bCs/>
          <w:sz w:val="24"/>
          <w:szCs w:val="24"/>
        </w:rPr>
        <w:t xml:space="preserve">. Foram realizadas três consultas mensais para coleta de dados e </w:t>
      </w:r>
      <w:proofErr w:type="spellStart"/>
      <w:r>
        <w:rPr>
          <w:rFonts w:ascii="Arial" w:hAnsi="Arial" w:cs="Arial"/>
          <w:bCs/>
          <w:sz w:val="24"/>
          <w:szCs w:val="24"/>
        </w:rPr>
        <w:t>ofereswecido</w:t>
      </w:r>
      <w:proofErr w:type="spellEnd"/>
      <w:r>
        <w:rPr>
          <w:rFonts w:ascii="Arial" w:hAnsi="Arial" w:cs="Arial"/>
          <w:bCs/>
          <w:sz w:val="24"/>
          <w:szCs w:val="24"/>
        </w:rPr>
        <w:t xml:space="preserve"> planejamento alimentar. </w:t>
      </w:r>
      <w:r w:rsidRPr="00D0391C">
        <w:rPr>
          <w:rFonts w:ascii="Arial" w:hAnsi="Arial" w:cs="Arial"/>
          <w:b/>
          <w:bCs/>
          <w:sz w:val="24"/>
          <w:szCs w:val="24"/>
        </w:rPr>
        <w:t>Resultado:</w:t>
      </w:r>
      <w:r>
        <w:rPr>
          <w:rFonts w:ascii="Arial" w:hAnsi="Arial" w:cs="Arial"/>
          <w:bCs/>
          <w:sz w:val="24"/>
          <w:szCs w:val="24"/>
        </w:rPr>
        <w:t xml:space="preserve"> </w:t>
      </w:r>
      <w:r>
        <w:rPr>
          <w:rFonts w:ascii="Arial" w:hAnsi="Arial" w:cs="Arial"/>
          <w:sz w:val="24"/>
          <w:szCs w:val="24"/>
        </w:rPr>
        <w:t xml:space="preserve">O </w:t>
      </w:r>
      <w:r w:rsidRPr="0036424E">
        <w:rPr>
          <w:rFonts w:ascii="Arial" w:hAnsi="Arial" w:cs="Arial"/>
          <w:sz w:val="24"/>
          <w:szCs w:val="24"/>
        </w:rPr>
        <w:t>valor energético total</w:t>
      </w:r>
      <w:r>
        <w:rPr>
          <w:rFonts w:ascii="Arial" w:hAnsi="Arial" w:cs="Arial"/>
          <w:sz w:val="24"/>
          <w:szCs w:val="24"/>
        </w:rPr>
        <w:t xml:space="preserve"> resultado do cálculo GEB x FA – VENTA foi de 1.800Kcal e as características da dieta foram hipocal</w:t>
      </w:r>
      <w:r w:rsidRPr="0036424E">
        <w:rPr>
          <w:rFonts w:ascii="Arial" w:hAnsi="Arial" w:cs="Arial"/>
          <w:sz w:val="24"/>
          <w:szCs w:val="24"/>
        </w:rPr>
        <w:t>ó</w:t>
      </w:r>
      <w:r>
        <w:rPr>
          <w:rFonts w:ascii="Arial" w:hAnsi="Arial" w:cs="Arial"/>
          <w:sz w:val="24"/>
          <w:szCs w:val="24"/>
        </w:rPr>
        <w:t xml:space="preserve">rica, </w:t>
      </w:r>
      <w:proofErr w:type="spellStart"/>
      <w:r>
        <w:rPr>
          <w:rFonts w:ascii="Arial" w:hAnsi="Arial" w:cs="Arial"/>
          <w:sz w:val="24"/>
          <w:szCs w:val="24"/>
        </w:rPr>
        <w:t>hiperproteica</w:t>
      </w:r>
      <w:proofErr w:type="spellEnd"/>
      <w:r>
        <w:rPr>
          <w:rFonts w:ascii="Arial" w:hAnsi="Arial" w:cs="Arial"/>
          <w:sz w:val="24"/>
          <w:szCs w:val="24"/>
        </w:rPr>
        <w:t xml:space="preserve">, </w:t>
      </w:r>
      <w:proofErr w:type="spellStart"/>
      <w:r>
        <w:rPr>
          <w:rFonts w:ascii="Arial" w:hAnsi="Arial" w:cs="Arial"/>
          <w:sz w:val="24"/>
          <w:szCs w:val="24"/>
        </w:rPr>
        <w:t>hipoglicídica</w:t>
      </w:r>
      <w:proofErr w:type="spellEnd"/>
      <w:r>
        <w:rPr>
          <w:rFonts w:ascii="Arial" w:hAnsi="Arial" w:cs="Arial"/>
          <w:sz w:val="24"/>
          <w:szCs w:val="24"/>
        </w:rPr>
        <w:t xml:space="preserve"> e </w:t>
      </w:r>
      <w:proofErr w:type="spellStart"/>
      <w:r>
        <w:rPr>
          <w:rFonts w:ascii="Arial" w:hAnsi="Arial" w:cs="Arial"/>
          <w:sz w:val="24"/>
          <w:szCs w:val="24"/>
        </w:rPr>
        <w:t>normolipídica</w:t>
      </w:r>
      <w:proofErr w:type="spellEnd"/>
      <w:r>
        <w:rPr>
          <w:rFonts w:ascii="Arial" w:hAnsi="Arial" w:cs="Arial"/>
          <w:sz w:val="24"/>
          <w:szCs w:val="24"/>
        </w:rPr>
        <w:t xml:space="preserve"> com um consumo &lt;10% do VET de gorduras saturadas, &lt;1% do VET de gorduras trans, &lt;300mg de colesterol e 1g de ingestão de ômega 3 ao dia.</w:t>
      </w:r>
      <w:r>
        <w:rPr>
          <w:rFonts w:ascii="Arial" w:hAnsi="Arial" w:cs="Arial"/>
          <w:bCs/>
          <w:sz w:val="24"/>
          <w:szCs w:val="24"/>
        </w:rPr>
        <w:t xml:space="preserve"> </w:t>
      </w:r>
      <w:r w:rsidRPr="00BA6729">
        <w:rPr>
          <w:rFonts w:ascii="Arial" w:hAnsi="Arial" w:cs="Arial"/>
          <w:b/>
          <w:bCs/>
          <w:sz w:val="24"/>
          <w:szCs w:val="24"/>
        </w:rPr>
        <w:t>Discussão:</w:t>
      </w:r>
      <w:r>
        <w:rPr>
          <w:rFonts w:ascii="Arial" w:hAnsi="Arial" w:cs="Arial"/>
          <w:bCs/>
          <w:sz w:val="24"/>
          <w:szCs w:val="24"/>
        </w:rPr>
        <w:t xml:space="preserve"> </w:t>
      </w:r>
      <w:r>
        <w:rPr>
          <w:rFonts w:ascii="Arial" w:hAnsi="Arial" w:cs="Arial"/>
          <w:sz w:val="24"/>
          <w:szCs w:val="24"/>
        </w:rPr>
        <w:t xml:space="preserve">Após análise dos exames laboratoriais, houve redução dos níveis do perfil lipídico com melhora significativa dos triglicérides, que regrediram aos valores de normalidade. Vários são os fatores adotados no planejamento alimentar que podem ter colaborado para tal resultado, como dieta hipocalórica e </w:t>
      </w:r>
      <w:proofErr w:type="spellStart"/>
      <w:r>
        <w:rPr>
          <w:rFonts w:ascii="Arial" w:hAnsi="Arial" w:cs="Arial"/>
          <w:sz w:val="24"/>
          <w:szCs w:val="24"/>
        </w:rPr>
        <w:t>hipoglicídica</w:t>
      </w:r>
      <w:proofErr w:type="spellEnd"/>
      <w:r>
        <w:rPr>
          <w:rFonts w:ascii="Arial" w:hAnsi="Arial" w:cs="Arial"/>
          <w:sz w:val="24"/>
          <w:szCs w:val="24"/>
        </w:rPr>
        <w:t>, com carboidratos complexos.</w:t>
      </w:r>
      <w:r>
        <w:rPr>
          <w:rFonts w:ascii="Arial" w:hAnsi="Arial" w:cs="Arial"/>
          <w:bCs/>
          <w:sz w:val="24"/>
          <w:szCs w:val="24"/>
        </w:rPr>
        <w:t xml:space="preserve">  </w:t>
      </w:r>
      <w:r w:rsidRPr="00BA6729">
        <w:rPr>
          <w:rFonts w:ascii="Arial" w:hAnsi="Arial" w:cs="Arial"/>
          <w:b/>
          <w:sz w:val="24"/>
          <w:szCs w:val="24"/>
        </w:rPr>
        <w:t>Conclusão:</w:t>
      </w:r>
      <w:r w:rsidRPr="00291CF8">
        <w:rPr>
          <w:rFonts w:ascii="Arial" w:hAnsi="Arial" w:cs="Arial"/>
          <w:bCs/>
          <w:sz w:val="24"/>
          <w:szCs w:val="24"/>
        </w:rPr>
        <w:t xml:space="preserve"> </w:t>
      </w:r>
      <w:r w:rsidRPr="00A027E6">
        <w:rPr>
          <w:rFonts w:ascii="Arial" w:hAnsi="Arial" w:cs="Arial"/>
          <w:bCs/>
          <w:sz w:val="24"/>
          <w:szCs w:val="24"/>
        </w:rPr>
        <w:t>P</w:t>
      </w:r>
      <w:r>
        <w:rPr>
          <w:rFonts w:ascii="Arial" w:hAnsi="Arial" w:cs="Arial"/>
          <w:bCs/>
          <w:sz w:val="24"/>
          <w:szCs w:val="24"/>
        </w:rPr>
        <w:t xml:space="preserve">odemos concluir que, no perfil da paciente estudada, a dieta hipocalórica, </w:t>
      </w:r>
      <w:proofErr w:type="spellStart"/>
      <w:r>
        <w:rPr>
          <w:rFonts w:ascii="Arial" w:hAnsi="Arial" w:cs="Arial"/>
          <w:bCs/>
          <w:sz w:val="24"/>
          <w:szCs w:val="24"/>
        </w:rPr>
        <w:t>hipoglicídica</w:t>
      </w:r>
      <w:proofErr w:type="spellEnd"/>
      <w:r>
        <w:rPr>
          <w:rFonts w:ascii="Arial" w:hAnsi="Arial" w:cs="Arial"/>
          <w:bCs/>
          <w:sz w:val="24"/>
          <w:szCs w:val="24"/>
        </w:rPr>
        <w:t xml:space="preserve">, </w:t>
      </w:r>
      <w:proofErr w:type="spellStart"/>
      <w:r>
        <w:rPr>
          <w:rFonts w:ascii="Arial" w:hAnsi="Arial" w:cs="Arial"/>
          <w:bCs/>
          <w:sz w:val="24"/>
          <w:szCs w:val="24"/>
        </w:rPr>
        <w:t>hiperproteica</w:t>
      </w:r>
      <w:proofErr w:type="spellEnd"/>
      <w:r>
        <w:rPr>
          <w:rFonts w:ascii="Arial" w:hAnsi="Arial" w:cs="Arial"/>
          <w:bCs/>
          <w:sz w:val="24"/>
          <w:szCs w:val="24"/>
        </w:rPr>
        <w:t xml:space="preserve"> e </w:t>
      </w:r>
      <w:proofErr w:type="spellStart"/>
      <w:r>
        <w:rPr>
          <w:rFonts w:ascii="Arial" w:hAnsi="Arial" w:cs="Arial"/>
          <w:bCs/>
          <w:sz w:val="24"/>
          <w:szCs w:val="24"/>
        </w:rPr>
        <w:t>normolipídica</w:t>
      </w:r>
      <w:proofErr w:type="spellEnd"/>
      <w:r>
        <w:rPr>
          <w:rFonts w:ascii="Arial" w:hAnsi="Arial" w:cs="Arial"/>
          <w:bCs/>
          <w:sz w:val="24"/>
          <w:szCs w:val="24"/>
        </w:rPr>
        <w:t xml:space="preserve"> teve resultados benéficos na antropometria e nos valores bioquímicos podendo ser adotada para prevenção de DCV.</w:t>
      </w:r>
    </w:p>
    <w:p w14:paraId="10B2C0A4" w14:textId="6808EC30" w:rsidR="003C1165" w:rsidRPr="003C1165" w:rsidRDefault="003C1165" w:rsidP="003C1165">
      <w:pPr>
        <w:spacing w:line="360" w:lineRule="auto"/>
        <w:jc w:val="both"/>
        <w:rPr>
          <w:rFonts w:ascii="Arial" w:hAnsi="Arial" w:cs="Arial"/>
          <w:sz w:val="24"/>
          <w:szCs w:val="24"/>
        </w:rPr>
      </w:pPr>
      <w:r w:rsidRPr="00EF13A8">
        <w:rPr>
          <w:rFonts w:ascii="Arial" w:hAnsi="Arial" w:cs="Arial"/>
          <w:b/>
          <w:bCs/>
          <w:sz w:val="24"/>
          <w:szCs w:val="24"/>
        </w:rPr>
        <w:t>PALAVRAS-CHAVE:</w:t>
      </w:r>
      <w:r w:rsidRPr="001C5E31">
        <w:rPr>
          <w:rFonts w:ascii="Arial" w:hAnsi="Arial" w:cs="Arial"/>
          <w:sz w:val="24"/>
          <w:szCs w:val="24"/>
        </w:rPr>
        <w:t xml:space="preserve"> </w:t>
      </w:r>
      <w:r>
        <w:rPr>
          <w:rFonts w:ascii="Arial" w:hAnsi="Arial" w:cs="Arial"/>
          <w:sz w:val="24"/>
          <w:szCs w:val="24"/>
        </w:rPr>
        <w:t>1</w:t>
      </w:r>
      <w:r w:rsidRPr="0036424E">
        <w:rPr>
          <w:rFonts w:ascii="Arial" w:hAnsi="Arial" w:cs="Arial"/>
          <w:sz w:val="24"/>
          <w:szCs w:val="24"/>
        </w:rPr>
        <w:t>.</w:t>
      </w:r>
      <w:r>
        <w:rPr>
          <w:rFonts w:ascii="Arial" w:hAnsi="Arial" w:cs="Arial"/>
          <w:sz w:val="24"/>
          <w:szCs w:val="24"/>
        </w:rPr>
        <w:t xml:space="preserve"> </w:t>
      </w:r>
      <w:r w:rsidRPr="0036424E">
        <w:rPr>
          <w:rFonts w:ascii="Arial" w:hAnsi="Arial" w:cs="Arial"/>
          <w:sz w:val="24"/>
          <w:szCs w:val="24"/>
        </w:rPr>
        <w:t xml:space="preserve">Síndrome dos ovários policísticos. 2.Colesterol. </w:t>
      </w:r>
      <w:r w:rsidRPr="003C1165">
        <w:rPr>
          <w:rFonts w:ascii="Arial" w:hAnsi="Arial" w:cs="Arial"/>
          <w:sz w:val="24"/>
          <w:szCs w:val="24"/>
        </w:rPr>
        <w:t>3.Triglicérides. 4.Dislipidemia. 5.Saúde da mulher.</w:t>
      </w:r>
    </w:p>
    <w:p w14:paraId="3959CD59" w14:textId="3821E6EA" w:rsidR="003C1165" w:rsidRDefault="003C1165" w:rsidP="000B5F4E">
      <w:pPr>
        <w:spacing w:line="360" w:lineRule="auto"/>
        <w:jc w:val="both"/>
        <w:rPr>
          <w:rFonts w:ascii="Arial" w:hAnsi="Arial" w:cs="Arial"/>
          <w:b/>
          <w:bCs/>
          <w:sz w:val="24"/>
          <w:szCs w:val="24"/>
        </w:rPr>
      </w:pPr>
      <w:bookmarkStart w:id="0" w:name="_Toc100160757"/>
      <w:r w:rsidRPr="003C1165">
        <w:rPr>
          <w:rFonts w:ascii="Arial" w:hAnsi="Arial" w:cs="Arial"/>
          <w:b/>
          <w:bCs/>
          <w:sz w:val="24"/>
          <w:szCs w:val="24"/>
        </w:rPr>
        <w:t>REFERÊNCIAS</w:t>
      </w:r>
      <w:bookmarkEnd w:id="0"/>
      <w:r w:rsidR="000B5F4E">
        <w:rPr>
          <w:rFonts w:ascii="Arial" w:hAnsi="Arial" w:cs="Arial"/>
          <w:b/>
          <w:bCs/>
          <w:sz w:val="24"/>
          <w:szCs w:val="24"/>
        </w:rPr>
        <w:t>:</w:t>
      </w:r>
    </w:p>
    <w:p w14:paraId="1DC84D9A" w14:textId="77777777" w:rsidR="000B5F4E" w:rsidRPr="00FD1B9C" w:rsidRDefault="000B5F4E" w:rsidP="000B5F4E">
      <w:pPr>
        <w:numPr>
          <w:ilvl w:val="0"/>
          <w:numId w:val="1"/>
        </w:numPr>
        <w:spacing w:line="360" w:lineRule="auto"/>
        <w:jc w:val="both"/>
        <w:rPr>
          <w:rFonts w:ascii="Arial" w:hAnsi="Arial" w:cs="Arial"/>
          <w:spacing w:val="6"/>
          <w:sz w:val="24"/>
          <w:szCs w:val="24"/>
        </w:rPr>
      </w:pPr>
      <w:r w:rsidRPr="00FD1B9C">
        <w:rPr>
          <w:rFonts w:ascii="Arial" w:hAnsi="Arial" w:cs="Arial"/>
          <w:sz w:val="24"/>
          <w:szCs w:val="24"/>
        </w:rPr>
        <w:t>FALUDI, A</w:t>
      </w:r>
      <w:r>
        <w:rPr>
          <w:rFonts w:ascii="Arial" w:hAnsi="Arial" w:cs="Arial"/>
          <w:sz w:val="24"/>
          <w:szCs w:val="24"/>
        </w:rPr>
        <w:t xml:space="preserve">. </w:t>
      </w:r>
      <w:r w:rsidRPr="00FD1B9C">
        <w:rPr>
          <w:rFonts w:ascii="Arial" w:hAnsi="Arial" w:cs="Arial"/>
          <w:sz w:val="24"/>
          <w:szCs w:val="24"/>
        </w:rPr>
        <w:t>A</w:t>
      </w:r>
      <w:r>
        <w:rPr>
          <w:rFonts w:ascii="Arial" w:hAnsi="Arial" w:cs="Arial"/>
          <w:sz w:val="24"/>
          <w:szCs w:val="24"/>
        </w:rPr>
        <w:t>.;</w:t>
      </w:r>
      <w:r w:rsidRPr="00FD1B9C">
        <w:rPr>
          <w:rFonts w:ascii="Arial" w:hAnsi="Arial" w:cs="Arial"/>
          <w:sz w:val="24"/>
          <w:szCs w:val="24"/>
        </w:rPr>
        <w:t xml:space="preserve"> I</w:t>
      </w:r>
      <w:r>
        <w:rPr>
          <w:rFonts w:ascii="Arial" w:hAnsi="Arial" w:cs="Arial"/>
          <w:sz w:val="24"/>
          <w:szCs w:val="24"/>
        </w:rPr>
        <w:t>ZAR,</w:t>
      </w:r>
      <w:r w:rsidRPr="00FD1B9C">
        <w:rPr>
          <w:rFonts w:ascii="Arial" w:hAnsi="Arial" w:cs="Arial"/>
          <w:sz w:val="24"/>
          <w:szCs w:val="24"/>
        </w:rPr>
        <w:t xml:space="preserve"> M</w:t>
      </w:r>
      <w:r>
        <w:rPr>
          <w:rFonts w:ascii="Arial" w:hAnsi="Arial" w:cs="Arial"/>
          <w:sz w:val="24"/>
          <w:szCs w:val="24"/>
        </w:rPr>
        <w:t xml:space="preserve">. </w:t>
      </w:r>
      <w:r w:rsidRPr="00FD1B9C">
        <w:rPr>
          <w:rFonts w:ascii="Arial" w:hAnsi="Arial" w:cs="Arial"/>
          <w:sz w:val="24"/>
          <w:szCs w:val="24"/>
        </w:rPr>
        <w:t>C</w:t>
      </w:r>
      <w:r>
        <w:rPr>
          <w:rFonts w:ascii="Arial" w:hAnsi="Arial" w:cs="Arial"/>
          <w:sz w:val="24"/>
          <w:szCs w:val="24"/>
        </w:rPr>
        <w:t xml:space="preserve">. </w:t>
      </w:r>
      <w:r w:rsidRPr="00FD1B9C">
        <w:rPr>
          <w:rFonts w:ascii="Arial" w:hAnsi="Arial" w:cs="Arial"/>
          <w:sz w:val="24"/>
          <w:szCs w:val="24"/>
        </w:rPr>
        <w:t>O</w:t>
      </w:r>
      <w:r>
        <w:rPr>
          <w:rFonts w:ascii="Arial" w:hAnsi="Arial" w:cs="Arial"/>
          <w:sz w:val="24"/>
          <w:szCs w:val="24"/>
        </w:rPr>
        <w:t xml:space="preserve">.; </w:t>
      </w:r>
      <w:r w:rsidRPr="00FD1B9C">
        <w:rPr>
          <w:rFonts w:ascii="Arial" w:hAnsi="Arial" w:cs="Arial"/>
          <w:sz w:val="24"/>
          <w:szCs w:val="24"/>
        </w:rPr>
        <w:t>S</w:t>
      </w:r>
      <w:r>
        <w:rPr>
          <w:rFonts w:ascii="Arial" w:hAnsi="Arial" w:cs="Arial"/>
          <w:sz w:val="24"/>
          <w:szCs w:val="24"/>
        </w:rPr>
        <w:t>ARAIVA,</w:t>
      </w:r>
      <w:r w:rsidRPr="00FD1B9C">
        <w:rPr>
          <w:rFonts w:ascii="Arial" w:hAnsi="Arial" w:cs="Arial"/>
          <w:sz w:val="24"/>
          <w:szCs w:val="24"/>
        </w:rPr>
        <w:t xml:space="preserve"> J</w:t>
      </w:r>
      <w:r>
        <w:rPr>
          <w:rFonts w:ascii="Arial" w:hAnsi="Arial" w:cs="Arial"/>
          <w:sz w:val="24"/>
          <w:szCs w:val="24"/>
        </w:rPr>
        <w:t xml:space="preserve">. </w:t>
      </w:r>
      <w:r w:rsidRPr="00FD1B9C">
        <w:rPr>
          <w:rFonts w:ascii="Arial" w:hAnsi="Arial" w:cs="Arial"/>
          <w:sz w:val="24"/>
          <w:szCs w:val="24"/>
        </w:rPr>
        <w:t>F</w:t>
      </w:r>
      <w:r>
        <w:rPr>
          <w:rFonts w:ascii="Arial" w:hAnsi="Arial" w:cs="Arial"/>
          <w:sz w:val="24"/>
          <w:szCs w:val="24"/>
        </w:rPr>
        <w:t xml:space="preserve">. </w:t>
      </w:r>
      <w:r w:rsidRPr="00FD1B9C">
        <w:rPr>
          <w:rFonts w:ascii="Arial" w:hAnsi="Arial" w:cs="Arial"/>
          <w:sz w:val="24"/>
          <w:szCs w:val="24"/>
        </w:rPr>
        <w:t>K</w:t>
      </w:r>
      <w:r>
        <w:rPr>
          <w:rFonts w:ascii="Arial" w:hAnsi="Arial" w:cs="Arial"/>
          <w:sz w:val="24"/>
          <w:szCs w:val="24"/>
        </w:rPr>
        <w:t>.;</w:t>
      </w:r>
      <w:r w:rsidRPr="00FD1B9C">
        <w:rPr>
          <w:rFonts w:ascii="Arial" w:hAnsi="Arial" w:cs="Arial"/>
          <w:sz w:val="24"/>
          <w:szCs w:val="24"/>
        </w:rPr>
        <w:t xml:space="preserve"> </w:t>
      </w:r>
      <w:r w:rsidRPr="00FD1B9C">
        <w:rPr>
          <w:rFonts w:ascii="Arial" w:hAnsi="Arial" w:cs="Arial"/>
          <w:i/>
          <w:iCs/>
          <w:sz w:val="24"/>
          <w:szCs w:val="24"/>
        </w:rPr>
        <w:t>et al</w:t>
      </w:r>
      <w:r w:rsidRPr="00FD1B9C">
        <w:rPr>
          <w:rFonts w:ascii="Arial" w:hAnsi="Arial" w:cs="Arial"/>
          <w:sz w:val="24"/>
          <w:szCs w:val="24"/>
        </w:rPr>
        <w:t xml:space="preserve">. Atualização da Diretriz Brasileira de Dislipidemias e Prevenção da Aterosclerose – 2017. </w:t>
      </w:r>
      <w:r w:rsidRPr="00FD1B9C">
        <w:rPr>
          <w:rFonts w:ascii="Arial" w:hAnsi="Arial" w:cs="Arial"/>
          <w:b/>
          <w:bCs/>
          <w:sz w:val="24"/>
          <w:szCs w:val="24"/>
        </w:rPr>
        <w:t>Arq</w:t>
      </w:r>
      <w:r>
        <w:rPr>
          <w:rFonts w:ascii="Arial" w:hAnsi="Arial" w:cs="Arial"/>
          <w:b/>
          <w:bCs/>
          <w:sz w:val="24"/>
          <w:szCs w:val="24"/>
        </w:rPr>
        <w:t>.</w:t>
      </w:r>
      <w:r w:rsidRPr="00FD1B9C">
        <w:rPr>
          <w:rFonts w:ascii="Arial" w:hAnsi="Arial" w:cs="Arial"/>
          <w:b/>
          <w:bCs/>
          <w:sz w:val="24"/>
          <w:szCs w:val="24"/>
        </w:rPr>
        <w:t xml:space="preserve"> Bras</w:t>
      </w:r>
      <w:r>
        <w:rPr>
          <w:rFonts w:ascii="Arial" w:hAnsi="Arial" w:cs="Arial"/>
          <w:b/>
          <w:bCs/>
          <w:sz w:val="24"/>
          <w:szCs w:val="24"/>
        </w:rPr>
        <w:t>.</w:t>
      </w:r>
      <w:r w:rsidRPr="00FD1B9C">
        <w:rPr>
          <w:rFonts w:ascii="Arial" w:hAnsi="Arial" w:cs="Arial"/>
          <w:b/>
          <w:bCs/>
          <w:sz w:val="24"/>
          <w:szCs w:val="24"/>
        </w:rPr>
        <w:t xml:space="preserve"> </w:t>
      </w:r>
      <w:proofErr w:type="spellStart"/>
      <w:r w:rsidRPr="00FD1B9C">
        <w:rPr>
          <w:rFonts w:ascii="Arial" w:hAnsi="Arial" w:cs="Arial"/>
          <w:b/>
          <w:bCs/>
          <w:sz w:val="24"/>
          <w:szCs w:val="24"/>
        </w:rPr>
        <w:t>Cardiol</w:t>
      </w:r>
      <w:proofErr w:type="spellEnd"/>
      <w:r>
        <w:rPr>
          <w:rFonts w:ascii="Arial" w:hAnsi="Arial" w:cs="Arial"/>
          <w:b/>
          <w:bCs/>
          <w:sz w:val="24"/>
          <w:szCs w:val="24"/>
        </w:rPr>
        <w:t>.</w:t>
      </w:r>
      <w:r w:rsidRPr="00FD1B9C">
        <w:rPr>
          <w:rFonts w:ascii="Arial" w:hAnsi="Arial" w:cs="Arial"/>
          <w:sz w:val="24"/>
          <w:szCs w:val="24"/>
        </w:rPr>
        <w:t xml:space="preserve"> 109(2Supl.1):1-76</w:t>
      </w:r>
      <w:r>
        <w:rPr>
          <w:rFonts w:ascii="Arial" w:hAnsi="Arial" w:cs="Arial"/>
          <w:sz w:val="24"/>
          <w:szCs w:val="24"/>
        </w:rPr>
        <w:t>, 2017.</w:t>
      </w:r>
    </w:p>
    <w:p w14:paraId="3853F2E6" w14:textId="77777777" w:rsidR="000B5F4E" w:rsidRPr="007B147F" w:rsidRDefault="000B5F4E" w:rsidP="000B5F4E">
      <w:pPr>
        <w:numPr>
          <w:ilvl w:val="0"/>
          <w:numId w:val="1"/>
        </w:numPr>
        <w:shd w:val="clear" w:color="auto" w:fill="FFFFFF"/>
        <w:spacing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GONÇALVES, M. M.; FONSECA, H. P.; FUKUNAGA, E. T.; </w:t>
      </w:r>
      <w:r w:rsidRPr="007B147F">
        <w:rPr>
          <w:rFonts w:ascii="Arial" w:eastAsia="Times New Roman" w:hAnsi="Arial" w:cs="Arial"/>
          <w:i/>
          <w:iCs/>
          <w:sz w:val="24"/>
          <w:szCs w:val="24"/>
          <w:lang w:eastAsia="pt-BR"/>
        </w:rPr>
        <w:t>et al</w:t>
      </w:r>
      <w:r>
        <w:rPr>
          <w:rFonts w:ascii="Arial" w:eastAsia="Times New Roman" w:hAnsi="Arial" w:cs="Arial"/>
          <w:sz w:val="24"/>
          <w:szCs w:val="24"/>
          <w:lang w:eastAsia="pt-BR"/>
        </w:rPr>
        <w:t>. Interferência dos hábitos nutricionais no perfil metabólico de mulheres com síndrome dos ovários policísticos</w:t>
      </w:r>
      <w:r w:rsidRPr="007B147F">
        <w:rPr>
          <w:rFonts w:ascii="Arial" w:eastAsia="Times New Roman" w:hAnsi="Arial" w:cs="Arial"/>
          <w:sz w:val="24"/>
          <w:szCs w:val="24"/>
          <w:lang w:eastAsia="pt-BR"/>
        </w:rPr>
        <w:t xml:space="preserve">. </w:t>
      </w:r>
      <w:proofErr w:type="spellStart"/>
      <w:r w:rsidRPr="009B3B74">
        <w:rPr>
          <w:rFonts w:ascii="Arial" w:hAnsi="Arial" w:cs="Arial"/>
          <w:b/>
          <w:bCs/>
          <w:sz w:val="24"/>
          <w:szCs w:val="24"/>
          <w:shd w:val="clear" w:color="auto" w:fill="FFFFFF"/>
        </w:rPr>
        <w:t>Arq</w:t>
      </w:r>
      <w:proofErr w:type="spellEnd"/>
      <w:r w:rsidRPr="009B3B74">
        <w:rPr>
          <w:rFonts w:ascii="Arial" w:hAnsi="Arial" w:cs="Arial"/>
          <w:b/>
          <w:bCs/>
          <w:sz w:val="24"/>
          <w:szCs w:val="24"/>
          <w:shd w:val="clear" w:color="auto" w:fill="FFFFFF"/>
        </w:rPr>
        <w:t xml:space="preserve"> </w:t>
      </w:r>
      <w:proofErr w:type="spellStart"/>
      <w:r w:rsidRPr="009B3B74">
        <w:rPr>
          <w:rFonts w:ascii="Arial" w:hAnsi="Arial" w:cs="Arial"/>
          <w:b/>
          <w:bCs/>
          <w:sz w:val="24"/>
          <w:szCs w:val="24"/>
          <w:shd w:val="clear" w:color="auto" w:fill="FFFFFF"/>
        </w:rPr>
        <w:t>Med</w:t>
      </w:r>
      <w:proofErr w:type="spellEnd"/>
      <w:r w:rsidRPr="009B3B74">
        <w:rPr>
          <w:rFonts w:ascii="Arial" w:hAnsi="Arial" w:cs="Arial"/>
          <w:b/>
          <w:bCs/>
          <w:sz w:val="24"/>
          <w:szCs w:val="24"/>
          <w:shd w:val="clear" w:color="auto" w:fill="FFFFFF"/>
        </w:rPr>
        <w:t xml:space="preserve"> </w:t>
      </w:r>
      <w:proofErr w:type="spellStart"/>
      <w:r w:rsidRPr="009B3B74">
        <w:rPr>
          <w:rFonts w:ascii="Arial" w:hAnsi="Arial" w:cs="Arial"/>
          <w:b/>
          <w:bCs/>
          <w:sz w:val="24"/>
          <w:szCs w:val="24"/>
          <w:shd w:val="clear" w:color="auto" w:fill="FFFFFF"/>
        </w:rPr>
        <w:t>Hosp</w:t>
      </w:r>
      <w:proofErr w:type="spellEnd"/>
      <w:r w:rsidRPr="009B3B74">
        <w:rPr>
          <w:rFonts w:ascii="Arial" w:hAnsi="Arial" w:cs="Arial"/>
          <w:b/>
          <w:bCs/>
          <w:sz w:val="24"/>
          <w:szCs w:val="24"/>
          <w:shd w:val="clear" w:color="auto" w:fill="FFFFFF"/>
        </w:rPr>
        <w:t xml:space="preserve"> </w:t>
      </w:r>
      <w:proofErr w:type="spellStart"/>
      <w:r w:rsidRPr="009B3B74">
        <w:rPr>
          <w:rFonts w:ascii="Arial" w:hAnsi="Arial" w:cs="Arial"/>
          <w:b/>
          <w:bCs/>
          <w:sz w:val="24"/>
          <w:szCs w:val="24"/>
          <w:shd w:val="clear" w:color="auto" w:fill="FFFFFF"/>
        </w:rPr>
        <w:t>Fac</w:t>
      </w:r>
      <w:proofErr w:type="spellEnd"/>
      <w:r w:rsidRPr="009B3B74">
        <w:rPr>
          <w:rFonts w:ascii="Arial" w:hAnsi="Arial" w:cs="Arial"/>
          <w:b/>
          <w:bCs/>
          <w:sz w:val="24"/>
          <w:szCs w:val="24"/>
          <w:shd w:val="clear" w:color="auto" w:fill="FFFFFF"/>
        </w:rPr>
        <w:t xml:space="preserve"> </w:t>
      </w:r>
      <w:proofErr w:type="spellStart"/>
      <w:r w:rsidRPr="009B3B74">
        <w:rPr>
          <w:rFonts w:ascii="Arial" w:hAnsi="Arial" w:cs="Arial"/>
          <w:b/>
          <w:bCs/>
          <w:sz w:val="24"/>
          <w:szCs w:val="24"/>
          <w:shd w:val="clear" w:color="auto" w:fill="FFFFFF"/>
        </w:rPr>
        <w:t>Cienc</w:t>
      </w:r>
      <w:proofErr w:type="spellEnd"/>
      <w:r w:rsidRPr="009B3B74">
        <w:rPr>
          <w:rFonts w:ascii="Arial" w:hAnsi="Arial" w:cs="Arial"/>
          <w:b/>
          <w:bCs/>
          <w:sz w:val="24"/>
          <w:szCs w:val="24"/>
          <w:shd w:val="clear" w:color="auto" w:fill="FFFFFF"/>
        </w:rPr>
        <w:t xml:space="preserve"> </w:t>
      </w:r>
      <w:proofErr w:type="spellStart"/>
      <w:r w:rsidRPr="009B3B74">
        <w:rPr>
          <w:rFonts w:ascii="Arial" w:hAnsi="Arial" w:cs="Arial"/>
          <w:b/>
          <w:bCs/>
          <w:sz w:val="24"/>
          <w:szCs w:val="24"/>
          <w:shd w:val="clear" w:color="auto" w:fill="FFFFFF"/>
        </w:rPr>
        <w:t>Med</w:t>
      </w:r>
      <w:proofErr w:type="spellEnd"/>
      <w:r w:rsidRPr="009B3B74">
        <w:rPr>
          <w:rFonts w:ascii="Arial" w:hAnsi="Arial" w:cs="Arial"/>
          <w:b/>
          <w:bCs/>
          <w:sz w:val="24"/>
          <w:szCs w:val="24"/>
          <w:shd w:val="clear" w:color="auto" w:fill="FFFFFF"/>
        </w:rPr>
        <w:t xml:space="preserve"> Santa Casa São Paulo</w:t>
      </w:r>
      <w:r w:rsidRPr="007B147F">
        <w:rPr>
          <w:rFonts w:ascii="Arial" w:hAnsi="Arial" w:cs="Arial"/>
          <w:sz w:val="24"/>
          <w:szCs w:val="24"/>
          <w:shd w:val="clear" w:color="auto" w:fill="FFFFFF"/>
        </w:rPr>
        <w:t>.</w:t>
      </w:r>
      <w:r>
        <w:rPr>
          <w:rFonts w:ascii="Arial" w:hAnsi="Arial" w:cs="Arial"/>
          <w:sz w:val="24"/>
          <w:szCs w:val="24"/>
          <w:shd w:val="clear" w:color="auto" w:fill="FFFFFF"/>
        </w:rPr>
        <w:t xml:space="preserve"> v. 63, n.1, p. 6-11, 2018.</w:t>
      </w:r>
    </w:p>
    <w:p w14:paraId="1E387B8B" w14:textId="77777777" w:rsidR="000B5F4E" w:rsidRDefault="000B5F4E" w:rsidP="000B5F4E">
      <w:pPr>
        <w:numPr>
          <w:ilvl w:val="0"/>
          <w:numId w:val="1"/>
        </w:numPr>
        <w:spacing w:line="360" w:lineRule="auto"/>
        <w:jc w:val="both"/>
        <w:rPr>
          <w:rFonts w:ascii="Arial" w:hAnsi="Arial" w:cs="Arial"/>
          <w:spacing w:val="6"/>
          <w:sz w:val="24"/>
          <w:szCs w:val="24"/>
        </w:rPr>
      </w:pPr>
      <w:r w:rsidRPr="004951A2">
        <w:rPr>
          <w:rStyle w:val="text-uppercase"/>
          <w:rFonts w:ascii="Arial" w:hAnsi="Arial" w:cs="Arial"/>
          <w:caps/>
          <w:spacing w:val="6"/>
          <w:sz w:val="24"/>
          <w:szCs w:val="24"/>
          <w:bdr w:val="none" w:sz="0" w:space="0" w:color="auto" w:frame="1"/>
        </w:rPr>
        <w:t>OLIVEIRA,</w:t>
      </w:r>
      <w:r w:rsidRPr="004951A2">
        <w:rPr>
          <w:rFonts w:ascii="Arial" w:hAnsi="Arial" w:cs="Arial"/>
          <w:spacing w:val="6"/>
          <w:sz w:val="24"/>
          <w:szCs w:val="24"/>
        </w:rPr>
        <w:t> </w:t>
      </w:r>
      <w:r w:rsidRPr="004951A2">
        <w:rPr>
          <w:rFonts w:ascii="Arial" w:hAnsi="Arial" w:cs="Arial"/>
          <w:spacing w:val="6"/>
          <w:sz w:val="24"/>
          <w:szCs w:val="24"/>
          <w:bdr w:val="none" w:sz="0" w:space="0" w:color="auto" w:frame="1"/>
        </w:rPr>
        <w:t>G. M. M. de</w:t>
      </w:r>
      <w:r w:rsidRPr="004951A2">
        <w:rPr>
          <w:rFonts w:ascii="Arial" w:hAnsi="Arial" w:cs="Arial"/>
          <w:spacing w:val="6"/>
          <w:sz w:val="24"/>
          <w:szCs w:val="24"/>
        </w:rPr>
        <w:t>; </w:t>
      </w:r>
      <w:r w:rsidRPr="004951A2">
        <w:rPr>
          <w:rStyle w:val="text-uppercase"/>
          <w:rFonts w:ascii="Arial" w:hAnsi="Arial" w:cs="Arial"/>
          <w:caps/>
          <w:spacing w:val="6"/>
          <w:sz w:val="24"/>
          <w:szCs w:val="24"/>
          <w:bdr w:val="none" w:sz="0" w:space="0" w:color="auto" w:frame="1"/>
        </w:rPr>
        <w:t>BRANT,</w:t>
      </w:r>
      <w:r w:rsidRPr="004951A2">
        <w:rPr>
          <w:rFonts w:ascii="Arial" w:hAnsi="Arial" w:cs="Arial"/>
          <w:spacing w:val="6"/>
          <w:sz w:val="24"/>
          <w:szCs w:val="24"/>
        </w:rPr>
        <w:t> </w:t>
      </w:r>
      <w:r w:rsidRPr="004951A2">
        <w:rPr>
          <w:rFonts w:ascii="Arial" w:hAnsi="Arial" w:cs="Arial"/>
          <w:spacing w:val="6"/>
          <w:sz w:val="24"/>
          <w:szCs w:val="24"/>
          <w:bdr w:val="none" w:sz="0" w:space="0" w:color="auto" w:frame="1"/>
        </w:rPr>
        <w:t>L. C. C.</w:t>
      </w:r>
      <w:r w:rsidRPr="004951A2">
        <w:rPr>
          <w:rFonts w:ascii="Arial" w:hAnsi="Arial" w:cs="Arial"/>
          <w:spacing w:val="6"/>
          <w:sz w:val="24"/>
          <w:szCs w:val="24"/>
        </w:rPr>
        <w:t>; </w:t>
      </w:r>
      <w:r w:rsidRPr="004951A2">
        <w:rPr>
          <w:rStyle w:val="text-uppercase"/>
          <w:rFonts w:ascii="Arial" w:hAnsi="Arial" w:cs="Arial"/>
          <w:caps/>
          <w:spacing w:val="6"/>
          <w:sz w:val="24"/>
          <w:szCs w:val="24"/>
          <w:bdr w:val="none" w:sz="0" w:space="0" w:color="auto" w:frame="1"/>
        </w:rPr>
        <w:t>POLANCZYK,</w:t>
      </w:r>
      <w:r w:rsidRPr="004951A2">
        <w:rPr>
          <w:rFonts w:ascii="Arial" w:hAnsi="Arial" w:cs="Arial"/>
          <w:spacing w:val="6"/>
          <w:sz w:val="24"/>
          <w:szCs w:val="24"/>
        </w:rPr>
        <w:t> </w:t>
      </w:r>
      <w:r w:rsidRPr="004951A2">
        <w:rPr>
          <w:rFonts w:ascii="Arial" w:hAnsi="Arial" w:cs="Arial"/>
          <w:spacing w:val="6"/>
          <w:sz w:val="24"/>
          <w:szCs w:val="24"/>
          <w:bdr w:val="none" w:sz="0" w:space="0" w:color="auto" w:frame="1"/>
        </w:rPr>
        <w:t>C. A.</w:t>
      </w:r>
      <w:r w:rsidRPr="004951A2">
        <w:rPr>
          <w:rFonts w:ascii="Arial" w:hAnsi="Arial" w:cs="Arial"/>
          <w:spacing w:val="6"/>
          <w:sz w:val="24"/>
          <w:szCs w:val="24"/>
        </w:rPr>
        <w:t>; </w:t>
      </w:r>
      <w:r>
        <w:rPr>
          <w:rStyle w:val="text-uppercase"/>
          <w:rFonts w:ascii="Arial" w:hAnsi="Arial" w:cs="Arial"/>
          <w:i/>
          <w:iCs/>
          <w:spacing w:val="6"/>
          <w:sz w:val="24"/>
          <w:szCs w:val="24"/>
          <w:bdr w:val="none" w:sz="0" w:space="0" w:color="auto" w:frame="1"/>
        </w:rPr>
        <w:t>et al</w:t>
      </w:r>
      <w:r w:rsidRPr="004951A2">
        <w:rPr>
          <w:rFonts w:ascii="Arial" w:hAnsi="Arial" w:cs="Arial"/>
          <w:spacing w:val="6"/>
          <w:sz w:val="24"/>
          <w:szCs w:val="24"/>
          <w:bdr w:val="none" w:sz="0" w:space="0" w:color="auto" w:frame="1"/>
        </w:rPr>
        <w:t>.</w:t>
      </w:r>
      <w:r w:rsidRPr="004951A2">
        <w:rPr>
          <w:rFonts w:ascii="Arial" w:hAnsi="Arial" w:cs="Arial"/>
          <w:spacing w:val="6"/>
          <w:sz w:val="24"/>
          <w:szCs w:val="24"/>
        </w:rPr>
        <w:t xml:space="preserve"> Cardiovascular </w:t>
      </w:r>
      <w:proofErr w:type="spellStart"/>
      <w:r w:rsidRPr="004951A2">
        <w:rPr>
          <w:rFonts w:ascii="Arial" w:hAnsi="Arial" w:cs="Arial"/>
          <w:spacing w:val="6"/>
          <w:sz w:val="24"/>
          <w:szCs w:val="24"/>
        </w:rPr>
        <w:t>Statistics</w:t>
      </w:r>
      <w:proofErr w:type="spellEnd"/>
      <w:r w:rsidRPr="004951A2">
        <w:rPr>
          <w:rFonts w:ascii="Arial" w:hAnsi="Arial" w:cs="Arial"/>
          <w:spacing w:val="6"/>
          <w:sz w:val="24"/>
          <w:szCs w:val="24"/>
        </w:rPr>
        <w:t xml:space="preserve"> – </w:t>
      </w:r>
      <w:proofErr w:type="spellStart"/>
      <w:r w:rsidRPr="004951A2">
        <w:rPr>
          <w:rFonts w:ascii="Arial" w:hAnsi="Arial" w:cs="Arial"/>
          <w:spacing w:val="6"/>
          <w:sz w:val="24"/>
          <w:szCs w:val="24"/>
        </w:rPr>
        <w:t>Brazil</w:t>
      </w:r>
      <w:proofErr w:type="spellEnd"/>
      <w:r w:rsidRPr="004951A2">
        <w:rPr>
          <w:rFonts w:ascii="Arial" w:hAnsi="Arial" w:cs="Arial"/>
          <w:spacing w:val="6"/>
          <w:sz w:val="24"/>
          <w:szCs w:val="24"/>
        </w:rPr>
        <w:t xml:space="preserve"> 2020. </w:t>
      </w:r>
      <w:r w:rsidRPr="004951A2">
        <w:rPr>
          <w:rFonts w:ascii="Arial" w:hAnsi="Arial" w:cs="Arial"/>
          <w:b/>
          <w:bCs/>
          <w:spacing w:val="6"/>
          <w:sz w:val="24"/>
          <w:szCs w:val="24"/>
        </w:rPr>
        <w:t xml:space="preserve">Arq. Bras. </w:t>
      </w:r>
      <w:proofErr w:type="spellStart"/>
      <w:r w:rsidRPr="004951A2">
        <w:rPr>
          <w:rFonts w:ascii="Arial" w:hAnsi="Arial" w:cs="Arial"/>
          <w:b/>
          <w:bCs/>
          <w:spacing w:val="6"/>
          <w:sz w:val="24"/>
          <w:szCs w:val="24"/>
        </w:rPr>
        <w:t>Cardiol</w:t>
      </w:r>
      <w:proofErr w:type="spellEnd"/>
      <w:r w:rsidRPr="004951A2">
        <w:rPr>
          <w:rFonts w:ascii="Arial" w:hAnsi="Arial" w:cs="Arial"/>
          <w:b/>
          <w:bCs/>
          <w:spacing w:val="6"/>
          <w:sz w:val="24"/>
          <w:szCs w:val="24"/>
        </w:rPr>
        <w:t>.,</w:t>
      </w:r>
      <w:r w:rsidRPr="004951A2">
        <w:rPr>
          <w:rFonts w:ascii="Arial" w:hAnsi="Arial" w:cs="Arial"/>
          <w:spacing w:val="6"/>
          <w:sz w:val="24"/>
          <w:szCs w:val="24"/>
        </w:rPr>
        <w:t xml:space="preserve"> v. 115, n. 3, p. 308-439, Sep. 2020.</w:t>
      </w:r>
    </w:p>
    <w:p w14:paraId="0799BE43" w14:textId="553F1AC2" w:rsidR="003C1165" w:rsidRPr="000B5F4E" w:rsidRDefault="000B5F4E" w:rsidP="000B5F4E">
      <w:pPr>
        <w:numPr>
          <w:ilvl w:val="0"/>
          <w:numId w:val="1"/>
        </w:numPr>
        <w:spacing w:line="360" w:lineRule="auto"/>
        <w:jc w:val="both"/>
        <w:rPr>
          <w:rFonts w:ascii="Arial" w:hAnsi="Arial" w:cs="Arial"/>
          <w:spacing w:val="6"/>
          <w:sz w:val="24"/>
          <w:szCs w:val="24"/>
        </w:rPr>
      </w:pPr>
      <w:r w:rsidRPr="00AD0B0B">
        <w:rPr>
          <w:rFonts w:ascii="Arial" w:hAnsi="Arial" w:cs="Arial"/>
          <w:sz w:val="24"/>
          <w:szCs w:val="24"/>
          <w:shd w:val="clear" w:color="auto" w:fill="FFFFFF"/>
        </w:rPr>
        <w:t>O</w:t>
      </w:r>
      <w:r>
        <w:rPr>
          <w:rFonts w:ascii="Arial" w:hAnsi="Arial" w:cs="Arial"/>
          <w:sz w:val="24"/>
          <w:szCs w:val="24"/>
          <w:shd w:val="clear" w:color="auto" w:fill="FFFFFF"/>
        </w:rPr>
        <w:t>RIO,</w:t>
      </w:r>
      <w:r w:rsidRPr="00AD0B0B">
        <w:rPr>
          <w:rFonts w:ascii="Arial" w:hAnsi="Arial" w:cs="Arial"/>
          <w:sz w:val="24"/>
          <w:szCs w:val="24"/>
          <w:shd w:val="clear" w:color="auto" w:fill="FFFFFF"/>
        </w:rPr>
        <w:t xml:space="preserve"> F</w:t>
      </w:r>
      <w:r>
        <w:rPr>
          <w:rFonts w:ascii="Arial" w:hAnsi="Arial" w:cs="Arial"/>
          <w:sz w:val="24"/>
          <w:szCs w:val="24"/>
          <w:shd w:val="clear" w:color="auto" w:fill="FFFFFF"/>
        </w:rPr>
        <w:t>.;</w:t>
      </w:r>
      <w:r w:rsidRPr="00AD0B0B">
        <w:rPr>
          <w:rFonts w:ascii="Arial" w:hAnsi="Arial" w:cs="Arial"/>
          <w:sz w:val="24"/>
          <w:szCs w:val="24"/>
          <w:shd w:val="clear" w:color="auto" w:fill="FFFFFF"/>
        </w:rPr>
        <w:t xml:space="preserve"> V</w:t>
      </w:r>
      <w:r>
        <w:rPr>
          <w:rFonts w:ascii="Arial" w:hAnsi="Arial" w:cs="Arial"/>
          <w:sz w:val="24"/>
          <w:szCs w:val="24"/>
          <w:shd w:val="clear" w:color="auto" w:fill="FFFFFF"/>
        </w:rPr>
        <w:t>UOLO,</w:t>
      </w:r>
      <w:r w:rsidRPr="00AD0B0B">
        <w:rPr>
          <w:rFonts w:ascii="Arial" w:hAnsi="Arial" w:cs="Arial"/>
          <w:sz w:val="24"/>
          <w:szCs w:val="24"/>
          <w:shd w:val="clear" w:color="auto" w:fill="FFFFFF"/>
        </w:rPr>
        <w:t xml:space="preserve"> L</w:t>
      </w:r>
      <w:r>
        <w:rPr>
          <w:rFonts w:ascii="Arial" w:hAnsi="Arial" w:cs="Arial"/>
          <w:sz w:val="24"/>
          <w:szCs w:val="24"/>
          <w:shd w:val="clear" w:color="auto" w:fill="FFFFFF"/>
        </w:rPr>
        <w:t>.;</w:t>
      </w:r>
      <w:r w:rsidRPr="00AD0B0B">
        <w:rPr>
          <w:rFonts w:ascii="Arial" w:hAnsi="Arial" w:cs="Arial"/>
          <w:sz w:val="24"/>
          <w:szCs w:val="24"/>
          <w:shd w:val="clear" w:color="auto" w:fill="FFFFFF"/>
        </w:rPr>
        <w:t xml:space="preserve"> P</w:t>
      </w:r>
      <w:r>
        <w:rPr>
          <w:rFonts w:ascii="Arial" w:hAnsi="Arial" w:cs="Arial"/>
          <w:sz w:val="24"/>
          <w:szCs w:val="24"/>
          <w:shd w:val="clear" w:color="auto" w:fill="FFFFFF"/>
        </w:rPr>
        <w:t>ALOMBA,</w:t>
      </w:r>
      <w:r w:rsidRPr="00AD0B0B">
        <w:rPr>
          <w:rFonts w:ascii="Arial" w:hAnsi="Arial" w:cs="Arial"/>
          <w:sz w:val="24"/>
          <w:szCs w:val="24"/>
          <w:shd w:val="clear" w:color="auto" w:fill="FFFFFF"/>
        </w:rPr>
        <w:t xml:space="preserve"> S</w:t>
      </w:r>
      <w:r>
        <w:rPr>
          <w:rFonts w:ascii="Arial" w:hAnsi="Arial" w:cs="Arial"/>
          <w:sz w:val="24"/>
          <w:szCs w:val="24"/>
          <w:shd w:val="clear" w:color="auto" w:fill="FFFFFF"/>
        </w:rPr>
        <w:t>.;</w:t>
      </w:r>
      <w:r w:rsidRPr="00AD0B0B">
        <w:rPr>
          <w:rFonts w:ascii="Arial" w:hAnsi="Arial" w:cs="Arial"/>
          <w:sz w:val="24"/>
          <w:szCs w:val="24"/>
          <w:shd w:val="clear" w:color="auto" w:fill="FFFFFF"/>
        </w:rPr>
        <w:t xml:space="preserve"> </w:t>
      </w:r>
      <w:r w:rsidRPr="00110F9F">
        <w:rPr>
          <w:rFonts w:ascii="Arial" w:hAnsi="Arial" w:cs="Arial"/>
          <w:i/>
          <w:iCs/>
          <w:sz w:val="24"/>
          <w:szCs w:val="24"/>
          <w:shd w:val="clear" w:color="auto" w:fill="FFFFFF"/>
        </w:rPr>
        <w:t>et al</w:t>
      </w:r>
      <w:r>
        <w:rPr>
          <w:rFonts w:ascii="Arial" w:hAnsi="Arial" w:cs="Arial"/>
          <w:sz w:val="24"/>
          <w:szCs w:val="24"/>
          <w:shd w:val="clear" w:color="auto" w:fill="FFFFFF"/>
        </w:rPr>
        <w:t>.</w:t>
      </w:r>
      <w:r w:rsidRPr="00AD0B0B">
        <w:rPr>
          <w:rFonts w:ascii="Arial" w:hAnsi="Arial" w:cs="Arial"/>
          <w:sz w:val="24"/>
          <w:szCs w:val="24"/>
          <w:shd w:val="clear" w:color="auto" w:fill="FFFFFF"/>
        </w:rPr>
        <w:t xml:space="preserve"> </w:t>
      </w:r>
      <w:proofErr w:type="spellStart"/>
      <w:r w:rsidRPr="00AD0B0B">
        <w:rPr>
          <w:rFonts w:ascii="Arial" w:hAnsi="Arial" w:cs="Arial"/>
          <w:sz w:val="24"/>
          <w:szCs w:val="24"/>
          <w:shd w:val="clear" w:color="auto" w:fill="FFFFFF"/>
        </w:rPr>
        <w:t>Metabolic</w:t>
      </w:r>
      <w:proofErr w:type="spellEnd"/>
      <w:r w:rsidRPr="00AD0B0B">
        <w:rPr>
          <w:rFonts w:ascii="Arial" w:hAnsi="Arial" w:cs="Arial"/>
          <w:sz w:val="24"/>
          <w:szCs w:val="24"/>
          <w:shd w:val="clear" w:color="auto" w:fill="FFFFFF"/>
        </w:rPr>
        <w:t xml:space="preserve"> </w:t>
      </w:r>
      <w:proofErr w:type="spellStart"/>
      <w:r w:rsidRPr="00AD0B0B">
        <w:rPr>
          <w:rFonts w:ascii="Arial" w:hAnsi="Arial" w:cs="Arial"/>
          <w:sz w:val="24"/>
          <w:szCs w:val="24"/>
          <w:shd w:val="clear" w:color="auto" w:fill="FFFFFF"/>
        </w:rPr>
        <w:t>and</w:t>
      </w:r>
      <w:proofErr w:type="spellEnd"/>
      <w:r w:rsidRPr="00AD0B0B">
        <w:rPr>
          <w:rFonts w:ascii="Arial" w:hAnsi="Arial" w:cs="Arial"/>
          <w:sz w:val="24"/>
          <w:szCs w:val="24"/>
          <w:shd w:val="clear" w:color="auto" w:fill="FFFFFF"/>
        </w:rPr>
        <w:t xml:space="preserve"> cardiovascular </w:t>
      </w:r>
      <w:proofErr w:type="spellStart"/>
      <w:r w:rsidRPr="00AD0B0B">
        <w:rPr>
          <w:rFonts w:ascii="Arial" w:hAnsi="Arial" w:cs="Arial"/>
          <w:sz w:val="24"/>
          <w:szCs w:val="24"/>
          <w:shd w:val="clear" w:color="auto" w:fill="FFFFFF"/>
        </w:rPr>
        <w:t>consequences</w:t>
      </w:r>
      <w:proofErr w:type="spellEnd"/>
      <w:r w:rsidRPr="00AD0B0B">
        <w:rPr>
          <w:rFonts w:ascii="Arial" w:hAnsi="Arial" w:cs="Arial"/>
          <w:sz w:val="24"/>
          <w:szCs w:val="24"/>
          <w:shd w:val="clear" w:color="auto" w:fill="FFFFFF"/>
        </w:rPr>
        <w:t xml:space="preserve"> </w:t>
      </w:r>
      <w:proofErr w:type="spellStart"/>
      <w:r w:rsidRPr="00AD0B0B">
        <w:rPr>
          <w:rFonts w:ascii="Arial" w:hAnsi="Arial" w:cs="Arial"/>
          <w:sz w:val="24"/>
          <w:szCs w:val="24"/>
          <w:shd w:val="clear" w:color="auto" w:fill="FFFFFF"/>
        </w:rPr>
        <w:t>of</w:t>
      </w:r>
      <w:proofErr w:type="spellEnd"/>
      <w:r w:rsidRPr="00AD0B0B">
        <w:rPr>
          <w:rFonts w:ascii="Arial" w:hAnsi="Arial" w:cs="Arial"/>
          <w:sz w:val="24"/>
          <w:szCs w:val="24"/>
          <w:shd w:val="clear" w:color="auto" w:fill="FFFFFF"/>
        </w:rPr>
        <w:t xml:space="preserve"> </w:t>
      </w:r>
      <w:proofErr w:type="spellStart"/>
      <w:r w:rsidRPr="00AD0B0B">
        <w:rPr>
          <w:rFonts w:ascii="Arial" w:hAnsi="Arial" w:cs="Arial"/>
          <w:sz w:val="24"/>
          <w:szCs w:val="24"/>
          <w:shd w:val="clear" w:color="auto" w:fill="FFFFFF"/>
        </w:rPr>
        <w:t>polycystic</w:t>
      </w:r>
      <w:proofErr w:type="spellEnd"/>
      <w:r w:rsidRPr="00AD0B0B">
        <w:rPr>
          <w:rFonts w:ascii="Arial" w:hAnsi="Arial" w:cs="Arial"/>
          <w:sz w:val="24"/>
          <w:szCs w:val="24"/>
          <w:shd w:val="clear" w:color="auto" w:fill="FFFFFF"/>
        </w:rPr>
        <w:t xml:space="preserve"> </w:t>
      </w:r>
      <w:proofErr w:type="spellStart"/>
      <w:r w:rsidRPr="00AD0B0B">
        <w:rPr>
          <w:rFonts w:ascii="Arial" w:hAnsi="Arial" w:cs="Arial"/>
          <w:sz w:val="24"/>
          <w:szCs w:val="24"/>
          <w:shd w:val="clear" w:color="auto" w:fill="FFFFFF"/>
        </w:rPr>
        <w:t>ovary</w:t>
      </w:r>
      <w:proofErr w:type="spellEnd"/>
      <w:r w:rsidRPr="00AD0B0B">
        <w:rPr>
          <w:rFonts w:ascii="Arial" w:hAnsi="Arial" w:cs="Arial"/>
          <w:sz w:val="24"/>
          <w:szCs w:val="24"/>
          <w:shd w:val="clear" w:color="auto" w:fill="FFFFFF"/>
        </w:rPr>
        <w:t xml:space="preserve"> </w:t>
      </w:r>
      <w:proofErr w:type="spellStart"/>
      <w:r w:rsidRPr="00AD0B0B">
        <w:rPr>
          <w:rFonts w:ascii="Arial" w:hAnsi="Arial" w:cs="Arial"/>
          <w:sz w:val="24"/>
          <w:szCs w:val="24"/>
          <w:shd w:val="clear" w:color="auto" w:fill="FFFFFF"/>
        </w:rPr>
        <w:t>syndrome</w:t>
      </w:r>
      <w:proofErr w:type="spellEnd"/>
      <w:r w:rsidRPr="00AD0B0B">
        <w:rPr>
          <w:rFonts w:ascii="Arial" w:hAnsi="Arial" w:cs="Arial"/>
          <w:sz w:val="24"/>
          <w:szCs w:val="24"/>
          <w:shd w:val="clear" w:color="auto" w:fill="FFFFFF"/>
        </w:rPr>
        <w:t xml:space="preserve">. </w:t>
      </w:r>
      <w:r w:rsidRPr="00110F9F">
        <w:rPr>
          <w:rFonts w:ascii="Arial" w:hAnsi="Arial" w:cs="Arial"/>
          <w:b/>
          <w:bCs/>
          <w:sz w:val="24"/>
          <w:szCs w:val="24"/>
          <w:shd w:val="clear" w:color="auto" w:fill="FFFFFF"/>
        </w:rPr>
        <w:t>Minerva Ginecol</w:t>
      </w:r>
      <w:r w:rsidRPr="00AD0B0B">
        <w:rPr>
          <w:rFonts w:ascii="Arial" w:hAnsi="Arial" w:cs="Arial"/>
          <w:sz w:val="24"/>
          <w:szCs w:val="24"/>
          <w:shd w:val="clear" w:color="auto" w:fill="FFFFFF"/>
        </w:rPr>
        <w:t>.</w:t>
      </w:r>
      <w:r>
        <w:rPr>
          <w:rFonts w:ascii="Arial" w:hAnsi="Arial" w:cs="Arial"/>
          <w:sz w:val="24"/>
          <w:szCs w:val="24"/>
          <w:shd w:val="clear" w:color="auto" w:fill="FFFFFF"/>
        </w:rPr>
        <w:t xml:space="preserve"> V. </w:t>
      </w:r>
      <w:r w:rsidRPr="00AD0B0B">
        <w:rPr>
          <w:rFonts w:ascii="Arial" w:hAnsi="Arial" w:cs="Arial"/>
          <w:sz w:val="24"/>
          <w:szCs w:val="24"/>
          <w:shd w:val="clear" w:color="auto" w:fill="FFFFFF"/>
        </w:rPr>
        <w:t>60</w:t>
      </w:r>
      <w:r>
        <w:rPr>
          <w:rFonts w:ascii="Arial" w:hAnsi="Arial" w:cs="Arial"/>
          <w:sz w:val="24"/>
          <w:szCs w:val="24"/>
          <w:shd w:val="clear" w:color="auto" w:fill="FFFFFF"/>
        </w:rPr>
        <w:t xml:space="preserve">, n. </w:t>
      </w:r>
      <w:r w:rsidRPr="00AD0B0B">
        <w:rPr>
          <w:rFonts w:ascii="Arial" w:hAnsi="Arial" w:cs="Arial"/>
          <w:sz w:val="24"/>
          <w:szCs w:val="24"/>
          <w:shd w:val="clear" w:color="auto" w:fill="FFFFFF"/>
        </w:rPr>
        <w:t>1</w:t>
      </w:r>
      <w:r>
        <w:rPr>
          <w:rFonts w:ascii="Arial" w:hAnsi="Arial" w:cs="Arial"/>
          <w:sz w:val="24"/>
          <w:szCs w:val="24"/>
          <w:shd w:val="clear" w:color="auto" w:fill="FFFFFF"/>
        </w:rPr>
        <w:t xml:space="preserve">, p. </w:t>
      </w:r>
      <w:r w:rsidRPr="00AD0B0B">
        <w:rPr>
          <w:rFonts w:ascii="Arial" w:hAnsi="Arial" w:cs="Arial"/>
          <w:sz w:val="24"/>
          <w:szCs w:val="24"/>
          <w:shd w:val="clear" w:color="auto" w:fill="FFFFFF"/>
        </w:rPr>
        <w:t xml:space="preserve">39-51. </w:t>
      </w:r>
      <w:r>
        <w:rPr>
          <w:rFonts w:ascii="Arial" w:hAnsi="Arial" w:cs="Arial"/>
          <w:sz w:val="24"/>
          <w:szCs w:val="24"/>
          <w:shd w:val="clear" w:color="auto" w:fill="FFFFFF"/>
        </w:rPr>
        <w:t>Fev</w:t>
      </w:r>
      <w:r w:rsidRPr="00AD0B0B">
        <w:rPr>
          <w:rFonts w:ascii="Arial" w:hAnsi="Arial" w:cs="Arial"/>
          <w:sz w:val="24"/>
          <w:szCs w:val="24"/>
          <w:shd w:val="clear" w:color="auto" w:fill="FFFFFF"/>
        </w:rPr>
        <w:t>.</w:t>
      </w:r>
      <w:r>
        <w:rPr>
          <w:rFonts w:ascii="Arial" w:hAnsi="Arial" w:cs="Arial"/>
          <w:sz w:val="24"/>
          <w:szCs w:val="24"/>
          <w:shd w:val="clear" w:color="auto" w:fill="FFFFFF"/>
        </w:rPr>
        <w:t xml:space="preserve"> 2008.</w:t>
      </w:r>
    </w:p>
    <w:p w14:paraId="72646B1B" w14:textId="77777777" w:rsidR="003C1165" w:rsidRPr="003C1165" w:rsidRDefault="003C1165" w:rsidP="000B5F4E">
      <w:pPr>
        <w:spacing w:line="360" w:lineRule="auto"/>
      </w:pPr>
    </w:p>
    <w:sectPr w:rsidR="003C1165" w:rsidRPr="003C1165" w:rsidSect="003C1165">
      <w:pgSz w:w="11906" w:h="16838"/>
      <w:pgMar w:top="1701"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0F5D"/>
    <w:multiLevelType w:val="hybridMultilevel"/>
    <w:tmpl w:val="746CD4B6"/>
    <w:lvl w:ilvl="0" w:tplc="EE48DE84">
      <w:start w:val="1"/>
      <w:numFmt w:val="decimal"/>
      <w:lvlText w:val="%1."/>
      <w:lvlJc w:val="left"/>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7669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65"/>
    <w:rsid w:val="000B5F4E"/>
    <w:rsid w:val="003C1165"/>
    <w:rsid w:val="005664A5"/>
    <w:rsid w:val="00763A0D"/>
    <w:rsid w:val="008A3AFB"/>
    <w:rsid w:val="00E73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059B"/>
  <w15:chartTrackingRefBased/>
  <w15:docId w15:val="{A8FA6098-5E61-4E06-A128-93C32D8D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16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3C1165"/>
    <w:rPr>
      <w:sz w:val="16"/>
      <w:szCs w:val="16"/>
    </w:rPr>
  </w:style>
  <w:style w:type="paragraph" w:styleId="Textodecomentrio">
    <w:name w:val="annotation text"/>
    <w:basedOn w:val="Normal"/>
    <w:link w:val="TextodecomentrioChar"/>
    <w:uiPriority w:val="99"/>
    <w:semiHidden/>
    <w:unhideWhenUsed/>
    <w:rsid w:val="003C1165"/>
    <w:rPr>
      <w:sz w:val="20"/>
      <w:szCs w:val="20"/>
    </w:rPr>
  </w:style>
  <w:style w:type="character" w:customStyle="1" w:styleId="TextodecomentrioChar">
    <w:name w:val="Texto de comentário Char"/>
    <w:basedOn w:val="Fontepargpadro"/>
    <w:link w:val="Textodecomentrio"/>
    <w:uiPriority w:val="99"/>
    <w:semiHidden/>
    <w:rsid w:val="003C1165"/>
    <w:rPr>
      <w:rFonts w:ascii="Calibri" w:eastAsia="Calibri" w:hAnsi="Calibri" w:cs="Times New Roman"/>
      <w:sz w:val="20"/>
      <w:szCs w:val="20"/>
    </w:rPr>
  </w:style>
  <w:style w:type="character" w:customStyle="1" w:styleId="text-uppercase">
    <w:name w:val="text-uppercase"/>
    <w:basedOn w:val="Fontepargpadro"/>
    <w:rsid w:val="000B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 kinukawa sousa</dc:creator>
  <cp:keywords/>
  <dc:description/>
  <cp:lastModifiedBy>harumi kinukawa sousa</cp:lastModifiedBy>
  <cp:revision>2</cp:revision>
  <dcterms:created xsi:type="dcterms:W3CDTF">2022-05-03T21:14:00Z</dcterms:created>
  <dcterms:modified xsi:type="dcterms:W3CDTF">2022-05-03T21:14:00Z</dcterms:modified>
</cp:coreProperties>
</file>